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Georgia" w:hAnsi="Georgia"/>
          <w:b/>
          <w:color w:val="1F3A3D"/>
          <w:sz w:val="40"/>
        </w:rPr>
        <w:t>Modèle de saisine de la Commission de recours amiable</w:t>
      </w:r>
    </w:p>
    <w:p>
      <w:pPr>
        <w:spacing w:after="200"/>
      </w:pPr>
      <w:r>
        <w:rPr>
          <w:i/>
          <w:color w:val="555555"/>
          <w:sz w:val="23"/>
        </w:rPr>
        <w:t>Contestation d'une notification d'indu adressée par la CPAM à un médecin</w:t>
      </w:r>
    </w:p>
    <w:p>
      <w:pPr>
        <w:spacing w:after="160"/>
        <w:pBdr>
          <w:bottom w:val="single" w:sz="8" w:space="1" w:color="1F3A3D"/>
        </w:pBdr>
      </w:pPr>
    </w:p>
    <w:p>
      <w:pPr>
        <w:pStyle w:val="Heading1"/>
      </w:pPr>
      <w:r>
        <w:t>Mode d'emploi (à lire avant d'utiliser le modèle)</w:t>
      </w:r>
    </w:p>
    <w:p>
      <w:r>
        <w:rPr>
          <w:b w:val="0"/>
          <w:i w:val="0"/>
        </w:rPr>
        <w:t>Ce document vous permet de rédiger vous-même la réclamation préalable obligatoire contre une notification d'indu. La Commission de recours amiable (CRA) de la caisse doit être saisie avant tout recours devant le pôle social du tribunal judiciaire. Une saisine bien construite fixe le cadre de tout le contentieux qui suivra : les demandes de pièces, les moyens de forme et les contestations acte par acte formulés à ce stade seront repris devant le juge.</w:t>
      </w:r>
    </w:p>
    <w:p>
      <w:pPr>
        <w:pStyle w:val="Heading2"/>
      </w:pPr>
      <w:r>
        <w:t>1. Le délai : deux mois, pas un jour de plus</w:t>
      </w:r>
    </w:p>
    <w:p>
      <w:r>
        <w:rPr>
          <w:b w:val="0"/>
          <w:i w:val="0"/>
        </w:rPr>
        <w:t>La commission doit être saisie dans le délai de deux mois à compter de la notification de la décision (article R. 142-1 du Code de la sécurité sociale, version en vigueur depuis le 31 mars 2019). Le point de départ est la date de première présentation du courrier recommandé, non la date figurant sur la lettre. Ce délai est un délai de forclusion : une réclamation tardive est irrecevable, et la caisse peut alors engager le recouvrement sans que le fond soit jamais examiné.</w:t>
      </w:r>
    </w:p>
    <w:tbl>
      <w:tblPr>
        <w:tblW w:type="auto" w:w="0"/>
        <w:jc w:val="center"/>
        <w:tblLook w:firstColumn="1" w:firstRow="1" w:lastColumn="0" w:lastRow="0" w:noHBand="0" w:noVBand="1" w:val="04A0"/>
      </w:tblPr>
      <w:tblGrid>
        <w:gridCol w:w="9298"/>
      </w:tblGrid>
      <w:tr>
        <w:tc>
          <w:tcPr>
            <w:tcW w:type="dxa" w:w="9298"/>
            <w:shd w:val="clear" w:color="auto" w:fill="EEF3F3"/>
          </w:tcPr>
          <w:p>
            <w:pPr>
              <w:spacing w:after="40"/>
            </w:pPr>
            <w:r>
              <w:rPr>
                <w:b/>
                <w:color w:val="1F3A3D"/>
              </w:rPr>
              <w:t>Conseil pratique</w:t>
            </w:r>
          </w:p>
          <w:p>
            <w:pPr>
              <w:spacing w:after="40"/>
            </w:pPr>
            <w:r>
              <w:t>Inscrivez la date limite sur votre agenda dès réception du courrier et envoyez votre réclamation au plus tard une semaine avant l'échéance. Conservez l'enveloppe et l'avis de passage de la notification : ils prouvent la date.</w:t>
            </w:r>
          </w:p>
        </w:tc>
      </w:tr>
    </w:tbl>
    <w:p>
      <w:pPr>
        <w:spacing w:after="40"/>
      </w:pPr>
    </w:p>
    <w:p>
      <w:pPr>
        <w:pStyle w:val="Heading2"/>
      </w:pPr>
      <w:r>
        <w:t>2. La forme : lettre recommandée avec accusé de réception</w:t>
      </w:r>
    </w:p>
    <w:p>
      <w:pPr>
        <w:pStyle w:val="ListBullet"/>
        <w:spacing w:after="60"/>
      </w:pPr>
      <w:r>
        <w:rPr>
          <w:b/>
        </w:rPr>
        <w:t>Envoi en LRAR</w:t>
      </w:r>
      <w:r>
        <w:t xml:space="preserve"> : elle seule vous permet de prouver la date de la saisine.</w:t>
      </w:r>
    </w:p>
    <w:p>
      <w:pPr>
        <w:pStyle w:val="ListBullet"/>
        <w:spacing w:after="60"/>
      </w:pPr>
      <w:r>
        <w:rPr>
          <w:b/>
        </w:rPr>
        <w:t>Conservez une copie</w:t>
      </w:r>
      <w:r>
        <w:t xml:space="preserve"> signée de la lettre et de ses annexes, ainsi que le récépissé de dépôt et l'accusé de réception.</w:t>
      </w:r>
    </w:p>
    <w:p>
      <w:pPr>
        <w:pStyle w:val="ListBullet"/>
        <w:spacing w:after="60"/>
      </w:pPr>
      <w:r>
        <w:rPr>
          <w:b/>
        </w:rPr>
        <w:t>Joignez la copie de la notification d'indu</w:t>
      </w:r>
      <w:r>
        <w:t xml:space="preserve"> (toutes les pages, y compris le tableau des actes) : la commission doit identifier sans ambiguïté la décision contestée.</w:t>
      </w:r>
    </w:p>
    <w:p>
      <w:pPr>
        <w:pStyle w:val="ListBullet"/>
        <w:spacing w:after="60"/>
      </w:pPr>
      <w:r>
        <w:rPr>
          <w:b/>
        </w:rPr>
        <w:t>Facultatif</w:t>
      </w:r>
      <w:r>
        <w:t xml:space="preserve"> : le double de la lettre peut être adressé au directeur de la caisse pour information, en mentionnant qu'une réclamation est pendante.</w:t>
      </w:r>
    </w:p>
    <w:p>
      <w:pPr>
        <w:pStyle w:val="Heading2"/>
      </w:pPr>
      <w:r>
        <w:t>3. Ce que vous devez compléter</w:t>
      </w:r>
    </w:p>
    <w:p>
      <w:r>
        <w:rPr>
          <w:b w:val="0"/>
          <w:i w:val="0"/>
        </w:rPr>
        <w:t>Les mentions entre crochets [ ] sont à remplacer. Supprimez les paragraphes qui ne correspondent pas à votre situation : mieux vaut une lettre courte et exacte qu'une lettre longue et générale. Le tableau de contestation acte par acte est l'élément le plus utile : il oblige la caisse à répondre point par point.</w:t>
      </w:r>
    </w:p>
    <w:p>
      <w:pPr>
        <w:pStyle w:val="Heading2"/>
      </w:pPr>
      <w:r>
        <w:t>4. Ce qui se passe ensuite</w:t>
      </w:r>
    </w:p>
    <w:p>
      <w:r>
        <w:rPr>
          <w:b w:val="0"/>
          <w:i w:val="0"/>
        </w:rPr>
        <w:t>La commission statue sur pièces, sans vous entendre. Si sa décision ne vous est pas notifiée dans un délai de deux mois, votre réclamation est réputée rejetée et vous pouvez saisir le pôle social du tribunal judiciaire. Une décision explicite de rejet ouvre le même recours, dans le délai indiqué sur la décision. Le silence de la caisse ne vaut donc jamais acceptation.</w:t>
      </w:r>
    </w:p>
    <w:p>
      <w:pPr>
        <w:pStyle w:val="Heading2"/>
      </w:pPr>
      <w:r>
        <w:t>5. Quand appeler un avocat</w:t>
      </w:r>
    </w:p>
    <w:p>
      <w:pPr>
        <w:pStyle w:val="ListBullet"/>
        <w:spacing w:after="60"/>
      </w:pPr>
      <w:r>
        <w:rPr>
          <w:b/>
        </w:rPr>
        <w:t>Le montant est important ou le courrier évoque une fraude, des faits répétés ou une fausse déclaration</w:t>
      </w:r>
      <w:r>
        <w:t xml:space="preserve"> : la caisse peut vous notifier en parallèle une pénalité financière ou saisir le procureur de la République.</w:t>
      </w:r>
    </w:p>
    <w:p>
      <w:pPr>
        <w:pStyle w:val="ListBullet"/>
        <w:spacing w:after="60"/>
      </w:pPr>
      <w:r>
        <w:rPr>
          <w:b/>
        </w:rPr>
        <w:t>Vous avez déjà reçu une convocation de la section des assurances sociales ou d'un officier de police judiciaire</w:t>
      </w:r>
      <w:r>
        <w:t xml:space="preserve"> : la stratégie de réponse à la CRA doit tenir compte de la procédure ordinale ou pénale.</w:t>
      </w:r>
    </w:p>
    <w:p>
      <w:pPr>
        <w:pStyle w:val="ListBullet"/>
        <w:spacing w:after="60"/>
      </w:pPr>
      <w:r>
        <w:rPr>
          <w:b/>
        </w:rPr>
        <w:t>Le tableau des actes est volumineux</w:t>
      </w:r>
      <w:r>
        <w:t xml:space="preserve"> : un tableau de plusieurs centaines de lignes doit être analysé cotation par cotation, avec votre logiciel de facturation et vos dossiers patients.</w:t>
      </w:r>
    </w:p>
    <w:p>
      <w:pPr>
        <w:pStyle w:val="ListBullet"/>
        <w:spacing w:after="60"/>
      </w:pPr>
      <w:r>
        <w:rPr>
          <w:b/>
        </w:rPr>
        <w:t>Il reste moins de dix jours avant l'expiration du délai</w:t>
      </w:r>
      <w:r>
        <w:t xml:space="preserve"> : le délai court toujours, mais une saisine conservatoire est possible.</w:t>
      </w:r>
    </w:p>
    <w:tbl>
      <w:tblPr>
        <w:tblW w:type="auto" w:w="0"/>
        <w:jc w:val="center"/>
        <w:tblLook w:firstColumn="1" w:firstRow="1" w:lastColumn="0" w:lastRow="0" w:noHBand="0" w:noVBand="1" w:val="04A0"/>
      </w:tblPr>
      <w:tblGrid>
        <w:gridCol w:w="9298"/>
      </w:tblGrid>
      <w:tr>
        <w:tc>
          <w:tcPr>
            <w:tcW w:type="dxa" w:w="9298"/>
            <w:shd w:val="clear" w:color="auto" w:fill="EEF3F3"/>
          </w:tcPr>
          <w:p>
            <w:pPr>
              <w:spacing w:after="40"/>
            </w:pPr>
            <w:r>
              <w:rPr>
                <w:b/>
                <w:color w:val="1F3A3D"/>
              </w:rPr>
              <w:t>Honoraires</w:t>
            </w:r>
          </w:p>
          <w:p>
            <w:pPr>
              <w:spacing w:after="40"/>
            </w:pPr>
            <w:r>
              <w:t>Dans la majorité des dossiers, vous ne payez aucun honoraire au-delà de ce que prend en charge votre assureur (responsabilité civile professionnelle ou protection juridique), en conciliation comme en jugement. Vous choisissez librement votre avocat.</w:t>
            </w:r>
          </w:p>
        </w:tc>
      </w:tr>
    </w:tbl>
    <w:p>
      <w:pPr>
        <w:spacing w:after="40"/>
      </w:pPr>
    </w:p>
    <w:p>
      <w:r>
        <w:rPr>
          <w:b w:val="0"/>
          <w:i w:val="0"/>
          <w:color w:val="555555"/>
          <w:sz w:val="20"/>
        </w:rPr>
        <w:t>Un doute sur votre dossier ? Premier entretien téléphonique de 20 minutes offert et confidentiel : 01 85 73 41 85 · contact@odaya-avocats.fr · ODAYA Avocats, 174 rue de Courcelles, 75017 Paris. Le cabinet intervient à Paris, en Île-de-France et partout en France.</w:t>
      </w:r>
    </w:p>
    <w:p>
      <w:r>
        <w:br w:type="page"/>
      </w:r>
    </w:p>
    <w:p>
      <w:pPr>
        <w:spacing w:after="0"/>
      </w:pPr>
      <w:r>
        <w:rPr>
          <w:b/>
          <w:i w:val="0"/>
        </w:rPr>
        <w:t>[Docteur Prénom NOM]</w:t>
      </w:r>
    </w:p>
    <w:p>
      <w:pPr>
        <w:spacing w:after="0"/>
      </w:pPr>
      <w:r>
        <w:rPr>
          <w:b w:val="0"/>
          <w:i w:val="0"/>
        </w:rPr>
        <w:t>[Discipline exercée] – [Secteur conventionnel]</w:t>
      </w:r>
    </w:p>
    <w:p>
      <w:pPr>
        <w:spacing w:after="0"/>
      </w:pPr>
      <w:r>
        <w:rPr>
          <w:b w:val="0"/>
          <w:i w:val="0"/>
        </w:rPr>
        <w:t>[Adresse du cabinet]</w:t>
      </w:r>
    </w:p>
    <w:p>
      <w:pPr>
        <w:spacing w:after="0"/>
      </w:pPr>
      <w:r>
        <w:rPr>
          <w:b w:val="0"/>
          <w:i w:val="0"/>
        </w:rPr>
        <w:t>[Code postal] [Ville]</w:t>
      </w:r>
    </w:p>
    <w:p>
      <w:pPr>
        <w:spacing w:after="0"/>
      </w:pPr>
      <w:r>
        <w:rPr>
          <w:b w:val="0"/>
          <w:i w:val="0"/>
        </w:rPr>
        <w:t>N° RPPS : [11 chiffres] – N° AM : [numéro Assurance Maladie]</w:t>
      </w:r>
    </w:p>
    <w:p>
      <w:pPr>
        <w:spacing w:after="280"/>
      </w:pPr>
      <w:r>
        <w:rPr>
          <w:b w:val="0"/>
          <w:i w:val="0"/>
        </w:rPr>
        <w:t>Tél. : [numéro] – Courriel : [adresse]</w:t>
      </w:r>
    </w:p>
    <w:p>
      <w:pPr>
        <w:spacing w:after="0"/>
        <w:jc w:val="right"/>
      </w:pPr>
      <w:r>
        <w:rPr>
          <w:b/>
          <w:i w:val="0"/>
        </w:rPr>
        <w:t>Commission de recours amiable</w:t>
      </w:r>
    </w:p>
    <w:p>
      <w:pPr>
        <w:spacing w:after="0"/>
        <w:jc w:val="right"/>
      </w:pPr>
      <w:r>
        <w:rPr>
          <w:b w:val="0"/>
          <w:i w:val="0"/>
        </w:rPr>
        <w:t>Caisse primaire d'assurance maladie de [département]</w:t>
      </w:r>
    </w:p>
    <w:p>
      <w:pPr>
        <w:spacing w:after="0"/>
        <w:jc w:val="right"/>
      </w:pPr>
      <w:r>
        <w:rPr>
          <w:b w:val="0"/>
          <w:i w:val="0"/>
        </w:rPr>
        <w:t>[Adresse figurant sur la notification]</w:t>
      </w:r>
    </w:p>
    <w:p>
      <w:pPr>
        <w:spacing w:after="280"/>
        <w:jc w:val="right"/>
      </w:pPr>
      <w:r>
        <w:rPr>
          <w:b w:val="0"/>
          <w:i w:val="0"/>
        </w:rPr>
        <w:t>[Code postal] [Ville]</w:t>
      </w:r>
    </w:p>
    <w:p>
      <w:pPr>
        <w:spacing w:after="0"/>
      </w:pPr>
      <w:r>
        <w:rPr>
          <w:b/>
          <w:i w:val="0"/>
        </w:rPr>
        <w:t>Lettre recommandée avec accusé de réception n° [numéro du recommandé]</w:t>
      </w:r>
    </w:p>
    <w:p>
      <w:pPr>
        <w:spacing w:after="200"/>
      </w:pPr>
      <w:r>
        <w:rPr>
          <w:b w:val="0"/>
          <w:i w:val="0"/>
        </w:rPr>
        <w:t>[Ville], le [date]</w:t>
      </w:r>
    </w:p>
    <w:p>
      <w:pPr>
        <w:spacing w:after="0"/>
      </w:pPr>
      <w:r>
        <w:rPr>
          <w:b/>
        </w:rPr>
        <w:t xml:space="preserve">Objet : </w:t>
      </w:r>
      <w:r>
        <w:rPr>
          <w:b w:val="0"/>
        </w:rPr>
        <w:t>réclamation préalable contre la notification d'indu du [date de la notification] – référence [référence / n° de dossier figurant sur le courrier] – montant réclamé : [montant] €</w:t>
      </w:r>
    </w:p>
    <w:p>
      <w:pPr>
        <w:spacing w:after="240"/>
      </w:pPr>
      <w:r>
        <w:rPr>
          <w:b/>
        </w:rPr>
        <w:t xml:space="preserve">Pièce principale : </w:t>
      </w:r>
      <w:r>
        <w:rPr>
          <w:b w:val="0"/>
        </w:rPr>
        <w:t>copie intégrale de la notification contestée</w:t>
      </w:r>
    </w:p>
    <w:p>
      <w:r>
        <w:rPr>
          <w:b w:val="0"/>
          <w:i w:val="0"/>
        </w:rPr>
        <w:t>Madame, Monsieur le Président,</w:t>
      </w:r>
    </w:p>
    <w:p>
      <w:r>
        <w:rPr>
          <w:b w:val="0"/>
          <w:i w:val="0"/>
        </w:rPr>
        <w:t>Par courrier recommandé daté du [date], présenté le [date de première présentation], la Caisse primaire d'assurance maladie de [département] m'a notifié, sur le fondement de l'article L. 133-4 du Code de la sécurité sociale, un indu d'un montant de [montant] € portant sur [nombre] actes facturés entre le [date] et le [date], au motif de [reprendre en une phrase le motif indiqué par la caisse : facturation non conforme à la nomenclature, actes non justifiés, cumul d'actes, majorations indues, etc.].</w:t>
      </w:r>
    </w:p>
    <w:p>
      <w:r>
        <w:rPr>
          <w:b w:val="0"/>
          <w:i w:val="0"/>
        </w:rPr>
        <w:t>Je conteste cette notification dans son intégralité et vous saisis, dans le délai de deux mois prévu à l'article R. 142-1 du Code de la sécurité sociale, de la présente réclamation.</w:t>
      </w:r>
    </w:p>
    <w:p>
      <w:pPr>
        <w:pStyle w:val="Heading2"/>
      </w:pPr>
      <w:r>
        <w:t>I. Demande de communication des pièces</w:t>
      </w:r>
    </w:p>
    <w:p>
      <w:r>
        <w:rPr>
          <w:b w:val="0"/>
          <w:i w:val="0"/>
        </w:rPr>
        <w:t>Afin de me permettre de présenter utilement mes observations, je vous demande de me communiquer, avant que la commission ne statue :</w:t>
      </w:r>
    </w:p>
    <w:p>
      <w:pPr>
        <w:pStyle w:val="ListBullet"/>
        <w:spacing w:after="60"/>
      </w:pPr>
      <w:r>
        <w:t>le tableau récapitulatif complet des actes retenus, sous forme exploitable (date, patient, acte, cotation facturée, cotation retenue, montant remboursé, montant réclamé) ;</w:t>
      </w:r>
    </w:p>
    <w:p>
      <w:pPr>
        <w:pStyle w:val="ListBullet"/>
        <w:spacing w:after="60"/>
      </w:pPr>
      <w:r>
        <w:t>l'ensemble des pièces du contrôle : lettre d'information du début du contrôle, rapport du service du contrôle médical, compte rendu de l'entretien, conclusions notifiées et mes observations en réponse ;</w:t>
      </w:r>
    </w:p>
    <w:p>
      <w:pPr>
        <w:pStyle w:val="ListBullet"/>
        <w:spacing w:after="60"/>
      </w:pPr>
      <w:r>
        <w:t>l'identité des patients entendus ou interrogés par la caisse et la copie des questionnaires ou auditions recueillis, afin que je puisse confronter leurs déclarations à mes dossiers médicaux ;</w:t>
      </w:r>
    </w:p>
    <w:p>
      <w:pPr>
        <w:pStyle w:val="ListBullet"/>
        <w:spacing w:after="60"/>
      </w:pPr>
      <w:r>
        <w:t>la copie de tout document sur lequel la caisse fonde la remise en cause de ma facturation.</w:t>
      </w:r>
    </w:p>
    <w:p>
      <w:r>
        <w:rPr>
          <w:b w:val="0"/>
          <w:i w:val="0"/>
        </w:rPr>
        <w:t>À défaut de communication de ces pièces, je vous demande de constater que la commission n'est pas en mesure de statuer contradictoirement et de suspendre l'examen de ma réclamation jusqu'à leur transmission.</w:t>
      </w:r>
    </w:p>
    <w:p>
      <w:pPr>
        <w:pStyle w:val="Heading2"/>
      </w:pPr>
      <w:r>
        <w:t>II. Contestation de la régularité de la procédure</w:t>
      </w:r>
    </w:p>
    <w:p>
      <w:r>
        <w:rPr>
          <w:b w:val="0"/>
          <w:i/>
          <w:color w:val="555555"/>
        </w:rPr>
        <w:t>[Conserver uniquement les paragraphes correspondant à votre situation.]</w:t>
      </w:r>
    </w:p>
    <w:p>
      <w:r>
        <w:rPr>
          <w:b/>
        </w:rPr>
        <w:t xml:space="preserve">1. Insuffisance de motivation. </w:t>
      </w:r>
      <w:r>
        <w:rPr>
          <w:b w:val="0"/>
        </w:rPr>
        <w:t>La notification d'indu doit préciser la cause, la nature et le montant des sommes réclamées ainsi que la date du ou des versements donnant lieu à répétition (article R. 133-9-1 du Code de la sécurité sociale). Or le courrier du [date] se borne à [décrire : un montant global sans détail acte par acte / une référence générale à la nomenclature sans indiquer la règle méconnue / un tableau illisible ou incomplet]. Je ne suis pas en mesure d'identifier, pour chaque acte, le grief qui m'est reproché.</w:t>
      </w:r>
    </w:p>
    <w:p>
      <w:r>
        <w:rPr>
          <w:b/>
        </w:rPr>
        <w:t xml:space="preserve">2. Méconnaissance du contradictoire. </w:t>
      </w:r>
      <w:r>
        <w:rPr>
          <w:b w:val="0"/>
        </w:rPr>
        <w:t>L'analyse de mon activité relève de l'article L. 315-1 du Code de la sécurité sociale, qui suppose que le professionnel soit informé du contrôle, mis en mesure de présenter ses observations et, s'il le demande, entendu par le médecin-conseil avec la possibilité de se faire assister. En l'espèce, [décrire : je n'ai reçu aucune information préalable / aucun entretien ne m'a été proposé / les conclusions du service médical ne m'ont pas été notifiées avant l'indu / mes observations du (date) n'ont reçu aucune réponse].</w:t>
      </w:r>
    </w:p>
    <w:p>
      <w:r>
        <w:rPr>
          <w:b/>
        </w:rPr>
        <w:t xml:space="preserve">3. Prescription. </w:t>
      </w:r>
      <w:r>
        <w:rPr>
          <w:b w:val="0"/>
        </w:rPr>
        <w:t>L'action en recouvrement d'un indu se prescrit par trois ans à compter de la date de paiement de la somme indue, sauf fraude ou fausse déclaration, ce qui n'est ni allégué ni établi. La notification datée du [date] porte sur des actes payés entre le [date] et le [date] : les paiements antérieurs au [date de la notification moins trois ans], soit [montant] €, sont prescrits et doivent être retirés du décompte.</w:t>
      </w:r>
    </w:p>
    <w:p>
      <w:r>
        <w:rPr>
          <w:b/>
        </w:rPr>
        <w:t xml:space="preserve">4. [Autre irrégularité constatée]. </w:t>
      </w:r>
      <w:r>
        <w:rPr>
          <w:b w:val="0"/>
        </w:rPr>
        <w:t>[Par exemple : la notification n'est pas signée par une personne ayant qualité, le tableau annexé vise un autre professionnel, le montant réclamé ne correspond pas à la somme des lignes du tableau.]</w:t>
      </w:r>
    </w:p>
    <w:p>
      <w:pPr>
        <w:pStyle w:val="Heading2"/>
      </w:pPr>
      <w:r>
        <w:t>III. Contestation au fond, acte par acte</w:t>
      </w:r>
    </w:p>
    <w:p>
      <w:r>
        <w:rPr>
          <w:b w:val="0"/>
          <w:i w:val="0"/>
        </w:rPr>
        <w:t>Les actes ont été réalisés, étaient médicalement justifiés et ont été facturés conformément à la nomenclature applicable à la date des soins. Je conteste chaque ligne de l'indu dans les conditions suivantes :</w:t>
      </w:r>
    </w:p>
    <w:tbl>
      <w:tblPr>
        <w:tblStyle w:val="TableGrid"/>
        <w:tblW w:type="auto" w:w="0"/>
        <w:jc w:val="center"/>
        <w:tblLook w:firstColumn="1" w:firstRow="1" w:lastColumn="0" w:lastRow="0" w:noHBand="0" w:noVBand="1" w:val="04A0"/>
      </w:tblPr>
      <w:tblGrid>
        <w:gridCol w:w="1328"/>
        <w:gridCol w:w="1328"/>
        <w:gridCol w:w="1328"/>
        <w:gridCol w:w="1328"/>
        <w:gridCol w:w="1328"/>
        <w:gridCol w:w="1328"/>
        <w:gridCol w:w="1328"/>
      </w:tblGrid>
      <w:tr>
        <w:tc>
          <w:tcPr>
            <w:tcW w:type="dxa" w:w="454"/>
            <w:shd w:val="clear" w:color="auto" w:fill="1F3A3D"/>
          </w:tcPr>
          <w:p>
            <w:pPr>
              <w:spacing w:after="0"/>
            </w:pPr>
            <w:r>
              <w:rPr>
                <w:b/>
                <w:color w:val="FFFFFF"/>
                <w:sz w:val="18"/>
              </w:rPr>
              <w:t>N°</w:t>
            </w:r>
          </w:p>
        </w:tc>
        <w:tc>
          <w:tcPr>
            <w:tcW w:type="dxa" w:w="1474"/>
            <w:shd w:val="clear" w:color="auto" w:fill="1F3A3D"/>
          </w:tcPr>
          <w:p>
            <w:pPr>
              <w:spacing w:after="0"/>
            </w:pPr>
            <w:r>
              <w:rPr>
                <w:b/>
                <w:color w:val="FFFFFF"/>
                <w:sz w:val="18"/>
              </w:rPr>
              <w:t>Patient (initiales / n° facture)</w:t>
            </w:r>
          </w:p>
        </w:tc>
        <w:tc>
          <w:tcPr>
            <w:tcW w:type="dxa" w:w="1134"/>
            <w:shd w:val="clear" w:color="auto" w:fill="1F3A3D"/>
          </w:tcPr>
          <w:p>
            <w:pPr>
              <w:spacing w:after="0"/>
            </w:pPr>
            <w:r>
              <w:rPr>
                <w:b/>
                <w:color w:val="FFFFFF"/>
                <w:sz w:val="18"/>
              </w:rPr>
              <w:t>Date de l'acte</w:t>
            </w:r>
          </w:p>
        </w:tc>
        <w:tc>
          <w:tcPr>
            <w:tcW w:type="dxa" w:w="1304"/>
            <w:shd w:val="clear" w:color="auto" w:fill="1F3A3D"/>
          </w:tcPr>
          <w:p>
            <w:pPr>
              <w:spacing w:after="0"/>
            </w:pPr>
            <w:r>
              <w:rPr>
                <w:b/>
                <w:color w:val="FFFFFF"/>
                <w:sz w:val="18"/>
              </w:rPr>
              <w:t>Cotation retenue par la caisse</w:t>
            </w:r>
          </w:p>
        </w:tc>
        <w:tc>
          <w:tcPr>
            <w:tcW w:type="dxa" w:w="1191"/>
            <w:shd w:val="clear" w:color="auto" w:fill="1F3A3D"/>
          </w:tcPr>
          <w:p>
            <w:pPr>
              <w:spacing w:after="0"/>
            </w:pPr>
            <w:r>
              <w:rPr>
                <w:b/>
                <w:color w:val="FFFFFF"/>
                <w:sz w:val="18"/>
              </w:rPr>
              <w:t>Cotation facturée</w:t>
            </w:r>
          </w:p>
        </w:tc>
        <w:tc>
          <w:tcPr>
            <w:tcW w:type="dxa" w:w="2381"/>
            <w:shd w:val="clear" w:color="auto" w:fill="1F3A3D"/>
          </w:tcPr>
          <w:p>
            <w:pPr>
              <w:spacing w:after="0"/>
            </w:pPr>
            <w:r>
              <w:rPr>
                <w:b/>
                <w:color w:val="FFFFFF"/>
                <w:sz w:val="18"/>
              </w:rPr>
              <w:t>Motif de contestation</w:t>
            </w:r>
          </w:p>
        </w:tc>
        <w:tc>
          <w:tcPr>
            <w:tcW w:type="dxa" w:w="1304"/>
            <w:shd w:val="clear" w:color="auto" w:fill="1F3A3D"/>
          </w:tcPr>
          <w:p>
            <w:pPr>
              <w:spacing w:after="0"/>
            </w:pPr>
            <w:r>
              <w:rPr>
                <w:b/>
                <w:color w:val="FFFFFF"/>
                <w:sz w:val="18"/>
              </w:rPr>
              <w:t>Pièces</w:t>
            </w:r>
          </w:p>
        </w:tc>
      </w:tr>
      <w:tr>
        <w:tc>
          <w:tcPr>
            <w:tcW w:type="dxa" w:w="454"/>
          </w:tcPr>
          <w:p>
            <w:pPr>
              <w:spacing w:after="0"/>
            </w:pPr>
            <w:r>
              <w:rPr>
                <w:sz w:val="18"/>
              </w:rPr>
              <w:t>1</w:t>
            </w:r>
          </w:p>
        </w:tc>
        <w:tc>
          <w:tcPr>
            <w:tcW w:type="dxa" w:w="1474"/>
          </w:tcPr>
          <w:p>
            <w:pPr>
              <w:spacing w:after="0"/>
            </w:pPr>
            <w:r>
              <w:rPr>
                <w:sz w:val="18"/>
              </w:rPr>
              <w:t>[A.B. / n°]</w:t>
            </w:r>
          </w:p>
        </w:tc>
        <w:tc>
          <w:tcPr>
            <w:tcW w:type="dxa" w:w="1134"/>
          </w:tcPr>
          <w:p>
            <w:pPr>
              <w:spacing w:after="0"/>
            </w:pPr>
            <w:r>
              <w:rPr>
                <w:sz w:val="18"/>
              </w:rPr>
              <w:t>[jj/mm/aaaa]</w:t>
            </w:r>
          </w:p>
        </w:tc>
        <w:tc>
          <w:tcPr>
            <w:tcW w:type="dxa" w:w="1304"/>
          </w:tcPr>
          <w:p>
            <w:pPr>
              <w:spacing w:after="0"/>
            </w:pPr>
            <w:r>
              <w:rPr>
                <w:sz w:val="18"/>
              </w:rPr>
              <w:t>[…]</w:t>
            </w:r>
          </w:p>
        </w:tc>
        <w:tc>
          <w:tcPr>
            <w:tcW w:type="dxa" w:w="1191"/>
          </w:tcPr>
          <w:p>
            <w:pPr>
              <w:spacing w:after="0"/>
            </w:pPr>
            <w:r>
              <w:rPr>
                <w:sz w:val="18"/>
              </w:rPr>
              <w:t>[…]</w:t>
            </w:r>
          </w:p>
        </w:tc>
        <w:tc>
          <w:tcPr>
            <w:tcW w:type="dxa" w:w="2381"/>
          </w:tcPr>
          <w:p>
            <w:pPr>
              <w:spacing w:after="0"/>
            </w:pPr>
            <w:r>
              <w:rPr>
                <w:sz w:val="18"/>
              </w:rPr>
              <w:t>[acte réalisé et tracé au dossier / cotation conforme à la NGAP-CCAM / cumul autorisé / majoration justifiée par…]</w:t>
            </w:r>
          </w:p>
        </w:tc>
        <w:tc>
          <w:tcPr>
            <w:tcW w:type="dxa" w:w="1304"/>
          </w:tcPr>
          <w:p>
            <w:pPr>
              <w:spacing w:after="0"/>
            </w:pPr>
            <w:r>
              <w:rPr>
                <w:sz w:val="18"/>
              </w:rPr>
              <w:t>[dossier, compte rendu, ordonnance]</w:t>
            </w:r>
          </w:p>
        </w:tc>
      </w:tr>
      <w:tr>
        <w:tc>
          <w:tcPr>
            <w:tcW w:type="dxa" w:w="454"/>
          </w:tcPr>
          <w:p>
            <w:pPr>
              <w:spacing w:after="0"/>
            </w:pPr>
            <w:r>
              <w:rPr>
                <w:sz w:val="18"/>
              </w:rPr>
              <w:t>2</w:t>
            </w:r>
          </w:p>
        </w:tc>
        <w:tc>
          <w:tcPr>
            <w:tcW w:type="dxa" w:w="1474"/>
          </w:tcPr>
          <w:p>
            <w:pPr>
              <w:spacing w:after="0"/>
            </w:pPr>
            <w:r>
              <w:rPr>
                <w:sz w:val="18"/>
              </w:rPr>
            </w:r>
          </w:p>
        </w:tc>
        <w:tc>
          <w:tcPr>
            <w:tcW w:type="dxa" w:w="1134"/>
          </w:tcPr>
          <w:p>
            <w:pPr>
              <w:spacing w:after="0"/>
            </w:pPr>
            <w:r>
              <w:rPr>
                <w:sz w:val="18"/>
              </w:rPr>
            </w:r>
          </w:p>
        </w:tc>
        <w:tc>
          <w:tcPr>
            <w:tcW w:type="dxa" w:w="1304"/>
          </w:tcPr>
          <w:p>
            <w:pPr>
              <w:spacing w:after="0"/>
            </w:pPr>
            <w:r>
              <w:rPr>
                <w:sz w:val="18"/>
              </w:rPr>
            </w:r>
          </w:p>
        </w:tc>
        <w:tc>
          <w:tcPr>
            <w:tcW w:type="dxa" w:w="1191"/>
          </w:tcPr>
          <w:p>
            <w:pPr>
              <w:spacing w:after="0"/>
            </w:pPr>
            <w:r>
              <w:rPr>
                <w:sz w:val="18"/>
              </w:rPr>
            </w:r>
          </w:p>
        </w:tc>
        <w:tc>
          <w:tcPr>
            <w:tcW w:type="dxa" w:w="2381"/>
          </w:tcPr>
          <w:p>
            <w:pPr>
              <w:spacing w:after="0"/>
            </w:pPr>
            <w:r>
              <w:rPr>
                <w:sz w:val="18"/>
              </w:rPr>
            </w:r>
          </w:p>
        </w:tc>
        <w:tc>
          <w:tcPr>
            <w:tcW w:type="dxa" w:w="1304"/>
          </w:tcPr>
          <w:p>
            <w:pPr>
              <w:spacing w:after="0"/>
            </w:pPr>
            <w:r>
              <w:rPr>
                <w:sz w:val="18"/>
              </w:rPr>
            </w:r>
          </w:p>
        </w:tc>
      </w:tr>
      <w:tr>
        <w:tc>
          <w:tcPr>
            <w:tcW w:type="dxa" w:w="454"/>
          </w:tcPr>
          <w:p>
            <w:pPr>
              <w:spacing w:after="0"/>
            </w:pPr>
            <w:r>
              <w:rPr>
                <w:sz w:val="18"/>
              </w:rPr>
              <w:t>3</w:t>
            </w:r>
          </w:p>
        </w:tc>
        <w:tc>
          <w:tcPr>
            <w:tcW w:type="dxa" w:w="1474"/>
          </w:tcPr>
          <w:p>
            <w:pPr>
              <w:spacing w:after="0"/>
            </w:pPr>
            <w:r>
              <w:rPr>
                <w:sz w:val="18"/>
              </w:rPr>
            </w:r>
          </w:p>
        </w:tc>
        <w:tc>
          <w:tcPr>
            <w:tcW w:type="dxa" w:w="1134"/>
          </w:tcPr>
          <w:p>
            <w:pPr>
              <w:spacing w:after="0"/>
            </w:pPr>
            <w:r>
              <w:rPr>
                <w:sz w:val="18"/>
              </w:rPr>
            </w:r>
          </w:p>
        </w:tc>
        <w:tc>
          <w:tcPr>
            <w:tcW w:type="dxa" w:w="1304"/>
          </w:tcPr>
          <w:p>
            <w:pPr>
              <w:spacing w:after="0"/>
            </w:pPr>
            <w:r>
              <w:rPr>
                <w:sz w:val="18"/>
              </w:rPr>
            </w:r>
          </w:p>
        </w:tc>
        <w:tc>
          <w:tcPr>
            <w:tcW w:type="dxa" w:w="1191"/>
          </w:tcPr>
          <w:p>
            <w:pPr>
              <w:spacing w:after="0"/>
            </w:pPr>
            <w:r>
              <w:rPr>
                <w:sz w:val="18"/>
              </w:rPr>
            </w:r>
          </w:p>
        </w:tc>
        <w:tc>
          <w:tcPr>
            <w:tcW w:type="dxa" w:w="2381"/>
          </w:tcPr>
          <w:p>
            <w:pPr>
              <w:spacing w:after="0"/>
            </w:pPr>
            <w:r>
              <w:rPr>
                <w:sz w:val="18"/>
              </w:rPr>
            </w:r>
          </w:p>
        </w:tc>
        <w:tc>
          <w:tcPr>
            <w:tcW w:type="dxa" w:w="1304"/>
          </w:tcPr>
          <w:p>
            <w:pPr>
              <w:spacing w:after="0"/>
            </w:pPr>
            <w:r>
              <w:rPr>
                <w:sz w:val="18"/>
              </w:rPr>
            </w:r>
          </w:p>
        </w:tc>
      </w:tr>
      <w:tr>
        <w:tc>
          <w:tcPr>
            <w:tcW w:type="dxa" w:w="454"/>
          </w:tcPr>
          <w:p>
            <w:pPr>
              <w:spacing w:after="0"/>
            </w:pPr>
            <w:r>
              <w:rPr>
                <w:sz w:val="18"/>
              </w:rPr>
              <w:t>4</w:t>
            </w:r>
          </w:p>
        </w:tc>
        <w:tc>
          <w:tcPr>
            <w:tcW w:type="dxa" w:w="1474"/>
          </w:tcPr>
          <w:p>
            <w:pPr>
              <w:spacing w:after="0"/>
            </w:pPr>
            <w:r>
              <w:rPr>
                <w:sz w:val="18"/>
              </w:rPr>
            </w:r>
          </w:p>
        </w:tc>
        <w:tc>
          <w:tcPr>
            <w:tcW w:type="dxa" w:w="1134"/>
          </w:tcPr>
          <w:p>
            <w:pPr>
              <w:spacing w:after="0"/>
            </w:pPr>
            <w:r>
              <w:rPr>
                <w:sz w:val="18"/>
              </w:rPr>
            </w:r>
          </w:p>
        </w:tc>
        <w:tc>
          <w:tcPr>
            <w:tcW w:type="dxa" w:w="1304"/>
          </w:tcPr>
          <w:p>
            <w:pPr>
              <w:spacing w:after="0"/>
            </w:pPr>
            <w:r>
              <w:rPr>
                <w:sz w:val="18"/>
              </w:rPr>
            </w:r>
          </w:p>
        </w:tc>
        <w:tc>
          <w:tcPr>
            <w:tcW w:type="dxa" w:w="1191"/>
          </w:tcPr>
          <w:p>
            <w:pPr>
              <w:spacing w:after="0"/>
            </w:pPr>
            <w:r>
              <w:rPr>
                <w:sz w:val="18"/>
              </w:rPr>
            </w:r>
          </w:p>
        </w:tc>
        <w:tc>
          <w:tcPr>
            <w:tcW w:type="dxa" w:w="2381"/>
          </w:tcPr>
          <w:p>
            <w:pPr>
              <w:spacing w:after="0"/>
            </w:pPr>
            <w:r>
              <w:rPr>
                <w:sz w:val="18"/>
              </w:rPr>
            </w:r>
          </w:p>
        </w:tc>
        <w:tc>
          <w:tcPr>
            <w:tcW w:type="dxa" w:w="1304"/>
          </w:tcPr>
          <w:p>
            <w:pPr>
              <w:spacing w:after="0"/>
            </w:pPr>
            <w:r>
              <w:rPr>
                <w:sz w:val="18"/>
              </w:rPr>
            </w:r>
          </w:p>
        </w:tc>
      </w:tr>
      <w:tr>
        <w:tc>
          <w:tcPr>
            <w:tcW w:type="dxa" w:w="454"/>
          </w:tcPr>
          <w:p>
            <w:pPr>
              <w:spacing w:after="0"/>
            </w:pPr>
            <w:r>
              <w:rPr>
                <w:sz w:val="18"/>
              </w:rPr>
              <w:t>…</w:t>
            </w:r>
          </w:p>
        </w:tc>
        <w:tc>
          <w:tcPr>
            <w:tcW w:type="dxa" w:w="1474"/>
          </w:tcPr>
          <w:p>
            <w:pPr>
              <w:spacing w:after="0"/>
            </w:pPr>
            <w:r>
              <w:rPr>
                <w:sz w:val="18"/>
              </w:rPr>
            </w:r>
          </w:p>
        </w:tc>
        <w:tc>
          <w:tcPr>
            <w:tcW w:type="dxa" w:w="1134"/>
          </w:tcPr>
          <w:p>
            <w:pPr>
              <w:spacing w:after="0"/>
            </w:pPr>
            <w:r>
              <w:rPr>
                <w:sz w:val="18"/>
              </w:rPr>
            </w:r>
          </w:p>
        </w:tc>
        <w:tc>
          <w:tcPr>
            <w:tcW w:type="dxa" w:w="1304"/>
          </w:tcPr>
          <w:p>
            <w:pPr>
              <w:spacing w:after="0"/>
            </w:pPr>
            <w:r>
              <w:rPr>
                <w:sz w:val="18"/>
              </w:rPr>
            </w:r>
          </w:p>
        </w:tc>
        <w:tc>
          <w:tcPr>
            <w:tcW w:type="dxa" w:w="1191"/>
          </w:tcPr>
          <w:p>
            <w:pPr>
              <w:spacing w:after="0"/>
            </w:pPr>
            <w:r>
              <w:rPr>
                <w:sz w:val="18"/>
              </w:rPr>
            </w:r>
          </w:p>
        </w:tc>
        <w:tc>
          <w:tcPr>
            <w:tcW w:type="dxa" w:w="2381"/>
          </w:tcPr>
          <w:p>
            <w:pPr>
              <w:spacing w:after="0"/>
            </w:pPr>
            <w:r>
              <w:rPr>
                <w:sz w:val="18"/>
              </w:rPr>
            </w:r>
          </w:p>
        </w:tc>
        <w:tc>
          <w:tcPr>
            <w:tcW w:type="dxa" w:w="1304"/>
          </w:tcPr>
          <w:p>
            <w:pPr>
              <w:spacing w:after="0"/>
            </w:pPr>
            <w:r>
              <w:rPr>
                <w:sz w:val="18"/>
              </w:rPr>
            </w:r>
          </w:p>
        </w:tc>
      </w:tr>
    </w:tbl>
    <w:p>
      <w:pPr>
        <w:spacing w:after="40"/>
      </w:pPr>
    </w:p>
    <w:p>
      <w:r>
        <w:rPr>
          <w:b w:val="0"/>
          <w:i/>
          <w:color w:val="555555"/>
        </w:rPr>
        <w:t>[Développer ici, par catégorie de grief, l'argument commun à plusieurs lignes du tableau. Par exemple :]</w:t>
      </w:r>
    </w:p>
    <w:p>
      <w:pPr>
        <w:pStyle w:val="ListBullet"/>
        <w:spacing w:after="60"/>
      </w:pPr>
      <w:r>
        <w:rPr>
          <w:b/>
        </w:rPr>
        <w:t>Actes prétendument non réalisés</w:t>
      </w:r>
      <w:r>
        <w:t xml:space="preserve"> : les actes contestés sont tracés dans les dossiers médicaux joints (comptes rendus, prescriptions, résultats). La caisse ne produit aucun élément établissant qu'ils n'auraient pas été réalisés.</w:t>
      </w:r>
    </w:p>
    <w:p>
      <w:pPr>
        <w:pStyle w:val="ListBullet"/>
        <w:spacing w:after="60"/>
      </w:pPr>
      <w:r>
        <w:rPr>
          <w:b/>
        </w:rPr>
        <w:t>Cotation contestée</w:t>
      </w:r>
      <w:r>
        <w:t xml:space="preserve"> : la cotation appliquée est celle prévue par la nomenclature en vigueur à la date des soins ; la caisse substitue une lecture restrictive qui ne résulte pas du texte.</w:t>
      </w:r>
    </w:p>
    <w:p>
      <w:pPr>
        <w:pStyle w:val="ListBullet"/>
        <w:spacing w:after="60"/>
      </w:pPr>
      <w:r>
        <w:rPr>
          <w:b/>
        </w:rPr>
        <w:t>Cumul d'actes</w:t>
      </w:r>
      <w:r>
        <w:t xml:space="preserve"> : les actes facturés ensemble relèvent de gestes distincts, réalisés dans des temps différents, dont l'association est autorisée par [règle applicable].</w:t>
      </w:r>
    </w:p>
    <w:p>
      <w:pPr>
        <w:pStyle w:val="ListBullet"/>
        <w:spacing w:after="60"/>
      </w:pPr>
      <w:r>
        <w:rPr>
          <w:b/>
        </w:rPr>
        <w:t>Majorations</w:t>
      </w:r>
      <w:r>
        <w:t xml:space="preserve"> : la majoration facturée correspond à [nuit, dimanche, urgence, âge du patient…] ; les horaires et circonstances figurent au dossier.</w:t>
      </w:r>
    </w:p>
    <w:p>
      <w:r>
        <w:rPr>
          <w:b w:val="0"/>
          <w:i w:val="0"/>
        </w:rPr>
        <w:t>À titre subsidiaire, si la commission devait retenir une partie de l'indu, je demande que le montant soit ramené à [montant] €, correspondant aux seules lignes [numéros] et que les actes réellement réalisés soient réglés sur la base de la cotation retenue par la caisse, et non intégralement annulés.</w:t>
      </w:r>
    </w:p>
    <w:p>
      <w:pPr>
        <w:pStyle w:val="Heading2"/>
      </w:pPr>
      <w:r>
        <w:t>IV. Demande de suspension du recouvrement</w:t>
      </w:r>
    </w:p>
    <w:p>
      <w:r>
        <w:rPr>
          <w:b w:val="0"/>
          <w:i w:val="0"/>
        </w:rPr>
        <w:t>La présente réclamation ayant été formée dans le délai légal, je vous demande de bien vouloir confirmer qu'aucune mesure de recouvrement, et en particulier aucune retenue ou compensation sur mes règlements en tiers payant, ne sera mise en œuvre tant que la commission n'aura pas statué et que les délais de recours contre sa décision ne seront pas expirés. Toute retenue opérée avant l'issue de la procédure serait contestée devant le pôle social du tribunal judiciaire.</w:t>
      </w:r>
    </w:p>
    <w:p>
      <w:pPr>
        <w:pStyle w:val="Heading2"/>
      </w:pPr>
      <w:r>
        <w:t>V. Demandes</w:t>
      </w:r>
    </w:p>
    <w:p>
      <w:r>
        <w:rPr>
          <w:b w:val="0"/>
          <w:i w:val="0"/>
        </w:rPr>
        <w:t>En conséquence, je demande à la commission de recours amiable :</w:t>
      </w:r>
    </w:p>
    <w:p>
      <w:pPr>
        <w:pStyle w:val="ListBullet"/>
        <w:spacing w:after="60"/>
      </w:pPr>
      <w:r>
        <w:t>à titre principal, d'annuler la notification d'indu du [date] pour les irrégularités exposées au II ;</w:t>
      </w:r>
    </w:p>
    <w:p>
      <w:pPr>
        <w:pStyle w:val="ListBullet"/>
        <w:spacing w:after="60"/>
      </w:pPr>
      <w:r>
        <w:t>en tout état de cause, de constater la prescription des sommes correspondant aux paiements antérieurs au [date] ;</w:t>
      </w:r>
    </w:p>
    <w:p>
      <w:pPr>
        <w:pStyle w:val="ListBullet"/>
        <w:spacing w:after="60"/>
      </w:pPr>
      <w:r>
        <w:t>au fond, de dire que les actes contestés ont été régulièrement réalisés et facturés et de ramener l'indu à néant, subsidiairement à la somme de [montant] € ;</w:t>
      </w:r>
    </w:p>
    <w:p>
      <w:pPr>
        <w:pStyle w:val="ListBullet"/>
        <w:spacing w:after="60"/>
      </w:pPr>
      <w:r>
        <w:t>de me communiquer les pièces demandées au I avant toute décision ;</w:t>
      </w:r>
    </w:p>
    <w:p>
      <w:pPr>
        <w:pStyle w:val="ListBullet"/>
        <w:spacing w:after="60"/>
      </w:pPr>
      <w:r>
        <w:t>de suspendre tout recouvrement jusqu'à l'issue de la procédure.</w:t>
      </w:r>
    </w:p>
    <w:p>
      <w:r>
        <w:rPr>
          <w:b w:val="0"/>
          <w:i w:val="0"/>
        </w:rPr>
        <w:t>Je vous prie de croire, Madame, Monsieur le Président, à l'assurance de ma considération distinguée.</w:t>
      </w:r>
    </w:p>
    <w:p>
      <w:pPr>
        <w:spacing w:after="40"/>
      </w:pPr>
      <w:r>
        <w:rPr>
          <w:b w:val="0"/>
          <w:i w:val="0"/>
        </w:rPr>
        <w:t>[Signature]</w:t>
      </w:r>
    </w:p>
    <w:p>
      <w:pPr>
        <w:spacing w:after="280"/>
      </w:pPr>
      <w:r>
        <w:rPr>
          <w:b/>
          <w:i w:val="0"/>
        </w:rPr>
        <w:t>Docteur [Prénom NOM]</w:t>
      </w:r>
    </w:p>
    <w:p>
      <w:pPr>
        <w:pStyle w:val="Heading2"/>
      </w:pPr>
      <w:r>
        <w:t>Pièces jointes</w:t>
      </w:r>
    </w:p>
    <w:p>
      <w:pPr>
        <w:spacing w:after="40"/>
      </w:pPr>
      <w:r>
        <w:rPr>
          <w:b/>
        </w:rPr>
        <w:t xml:space="preserve">Pièce n° 1 – </w:t>
      </w:r>
      <w:r>
        <w:rPr>
          <w:b w:val="0"/>
        </w:rPr>
        <w:t>Copie intégrale de la notification d'indu du [date], enveloppe et avis de présentation</w:t>
      </w:r>
    </w:p>
    <w:p>
      <w:pPr>
        <w:spacing w:after="40"/>
      </w:pPr>
      <w:r>
        <w:rPr>
          <w:b/>
        </w:rPr>
        <w:t xml:space="preserve">Pièce n° 2 – </w:t>
      </w:r>
      <w:r>
        <w:rPr>
          <w:b w:val="0"/>
        </w:rPr>
        <w:t>Tableau des actes annexé à la notification, annoté ligne par ligne</w:t>
      </w:r>
    </w:p>
    <w:p>
      <w:pPr>
        <w:spacing w:after="40"/>
      </w:pPr>
      <w:r>
        <w:rPr>
          <w:b/>
        </w:rPr>
        <w:t xml:space="preserve">Pièce n° 3 – </w:t>
      </w:r>
      <w:r>
        <w:rPr>
          <w:b w:val="0"/>
        </w:rPr>
        <w:t>Lettre d'information du contrôle et courriers échangés avec le service du contrôle médical</w:t>
      </w:r>
    </w:p>
    <w:p>
      <w:pPr>
        <w:spacing w:after="40"/>
      </w:pPr>
      <w:r>
        <w:rPr>
          <w:b/>
        </w:rPr>
        <w:t xml:space="preserve">Pièce n° 4 – </w:t>
      </w:r>
      <w:r>
        <w:rPr>
          <w:b w:val="0"/>
        </w:rPr>
        <w:t>Observations adressées au médecin-conseil le [date] et, le cas échéant, compte rendu d'entretien</w:t>
      </w:r>
    </w:p>
    <w:p>
      <w:pPr>
        <w:spacing w:after="40"/>
      </w:pPr>
      <w:r>
        <w:rPr>
          <w:b/>
        </w:rPr>
        <w:t xml:space="preserve">Pièce n° 5 – </w:t>
      </w:r>
      <w:r>
        <w:rPr>
          <w:b w:val="0"/>
        </w:rPr>
        <w:t>Extraits anonymisés des dossiers médicaux justifiant les actes contestés (n° 1 à [n])</w:t>
      </w:r>
    </w:p>
    <w:p>
      <w:pPr>
        <w:spacing w:after="40"/>
      </w:pPr>
      <w:r>
        <w:rPr>
          <w:b/>
        </w:rPr>
        <w:t xml:space="preserve">Pièce n° 6 – </w:t>
      </w:r>
      <w:r>
        <w:rPr>
          <w:b w:val="0"/>
        </w:rPr>
        <w:t>Relevés de facturation issus du logiciel (bordereaux SESAM-Vitale ou FSE) pour la période contrôlée</w:t>
      </w:r>
    </w:p>
    <w:p>
      <w:pPr>
        <w:spacing w:after="40"/>
      </w:pPr>
      <w:r>
        <w:rPr>
          <w:b/>
        </w:rPr>
        <w:t xml:space="preserve">Pièce n° 7 – </w:t>
      </w:r>
      <w:r>
        <w:rPr>
          <w:b w:val="0"/>
        </w:rPr>
        <w:t>Tout autre document utile : ordonnances, comptes rendus opératoires, planning de garde, justificatifs d'horaires</w:t>
      </w:r>
    </w:p>
    <w:sectPr w:rsidR="00FC693F" w:rsidRPr="0006063C" w:rsidSect="00034616">
      <w:headerReference w:type="default" r:id="rId9"/>
      <w:footerReference w:type="default" r:id="rId10"/>
      <w:pgSz w:w="11906" w:h="16838"/>
      <w:pgMar w:top="1247"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55555"/>
        <w:sz w:val="15"/>
      </w:rPr>
      <w:t>ODAYA Avocats · 174 rue de Courcelles, 75017 Paris · 01 85 73 41 85 · odaya-avocats.fr — document d'information générale, ne remplace pas une consultation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555555"/>
        <w:sz w:val="16"/>
      </w:rPr>
      <w:t>ODAYA Avocats · Avocats des médecins · Ressource pratique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Calibri" w:hAnsi="Calibri" w:eastAsia="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1F3A3D"/>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Georgia" w:hAnsi="Georgia"/>
      <w:b/>
      <w:bCs/>
      <w:color w:val="1F3A3D"/>
      <w:sz w:val="26"/>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1F3A3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