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Georgia" w:hAnsi="Georgia"/>
          <w:b/>
          <w:color w:val="1F3A3D"/>
          <w:sz w:val="40"/>
        </w:rPr>
        <w:t>Check-list « Je reçois un contrôle d'activité CPAM »</w:t>
      </w:r>
    </w:p>
    <w:p>
      <w:pPr>
        <w:spacing w:after="200"/>
      </w:pPr>
      <w:r>
        <w:rPr>
          <w:i/>
          <w:color w:val="555555"/>
          <w:sz w:val="23"/>
        </w:rPr>
        <w:t>Les réflexes à avoir, phase par phase, de la première lettre à la notification</w:t>
      </w:r>
    </w:p>
    <w:p>
      <w:pPr>
        <w:spacing w:after="160"/>
        <w:pBdr>
          <w:bottom w:val="single" w:sz="8" w:space="1" w:color="1F3A3D"/>
        </w:pBdr>
      </w:pPr>
    </w:p>
    <w:p>
      <w:r>
        <w:rPr>
          <w:b w:val="0"/>
          <w:i w:val="0"/>
        </w:rPr>
        <w:t>Un contrôle d'activité est conduit par le service du contrôle médical de la caisse sur le fondement de l'article L. 315-1 du Code de la sécurité sociale. Il peut déboucher sur une notification d'indu, une pénalité financière, une saisine de la section des assurances sociales de l'Ordre, voire une plainte pénale. Tout se joue dans la manière dont vous répondez dès les premiers jours : ce qui est dit ou écrit pendant le contrôle sera repris ensuite. Cochez chaque point au fur et à mesure.</w:t>
      </w:r>
    </w:p>
    <w:tbl>
      <w:tblPr>
        <w:tblW w:type="auto" w:w="0"/>
        <w:jc w:val="center"/>
        <w:tblLook w:firstColumn="1" w:firstRow="1" w:lastColumn="0" w:lastRow="0" w:noHBand="0" w:noVBand="1" w:val="04A0"/>
      </w:tblPr>
      <w:tblGrid>
        <w:gridCol w:w="9298"/>
      </w:tblGrid>
      <w:tr>
        <w:tc>
          <w:tcPr>
            <w:tcW w:type="dxa" w:w="9298"/>
            <w:shd w:val="clear" w:color="auto" w:fill="EEF3F3"/>
          </w:tcPr>
          <w:p>
            <w:pPr>
              <w:spacing w:after="40"/>
            </w:pPr>
            <w:r>
              <w:rPr>
                <w:b/>
                <w:color w:val="1F3A3D"/>
              </w:rPr>
              <w:t>Honoraires</w:t>
            </w:r>
          </w:p>
          <w:p>
            <w:pPr>
              <w:spacing w:after="40"/>
            </w:pPr>
            <w:r>
              <w:t>Dans la majorité des dossiers, vous ne payez aucun honoraire au-delà de ce que prend en charge votre assureur (responsabilité civile professionnelle ou protection juridique), en conciliation comme en jugement. Vous choisissez librement votre avocat.</w:t>
            </w:r>
          </w:p>
        </w:tc>
      </w:tr>
    </w:tbl>
    <w:p>
      <w:pPr>
        <w:spacing w:after="40"/>
      </w:pPr>
    </w:p>
    <w:p>
      <w:pPr>
        <w:pStyle w:val="Heading1"/>
      </w:pPr>
      <w:r>
        <w:t>Phase 1 – À la réception du courrier</w:t>
      </w:r>
    </w:p>
    <w:p>
      <w:pPr>
        <w:keepNext/>
        <w:spacing w:after="0"/>
        <w:ind w:left="510" w:hanging="510"/>
      </w:pPr>
      <w:r>
        <w:rPr>
          <w:rFonts w:ascii="Segoe UI Symbol" w:hAnsi="Segoe UI Symbol"/>
          <w:sz w:val="24"/>
        </w:rPr>
        <w:t xml:space="preserve">☐  </w:t>
      </w:r>
      <w:r>
        <w:rPr>
          <w:b/>
        </w:rPr>
        <w:t>Je conserve l'enveloppe, l'avis de passage et le courrier dans leur état d'origine.</w:t>
      </w:r>
    </w:p>
    <w:p>
      <w:pPr>
        <w:spacing w:after="140"/>
        <w:ind w:left="510"/>
      </w:pPr>
      <w:r>
        <w:rPr>
          <w:color w:val="555555"/>
          <w:sz w:val="20"/>
        </w:rPr>
        <w:t>La date de première présentation fait courir les délais. Ne jetez rien, n'annotez pas l'original : travaillez sur une copie.</w:t>
      </w:r>
    </w:p>
    <w:p>
      <w:pPr>
        <w:keepNext/>
        <w:spacing w:after="0"/>
        <w:ind w:left="510" w:hanging="510"/>
      </w:pPr>
      <w:r>
        <w:rPr>
          <w:rFonts w:ascii="Segoe UI Symbol" w:hAnsi="Segoe UI Symbol"/>
          <w:sz w:val="24"/>
        </w:rPr>
        <w:t xml:space="preserve">☐  </w:t>
      </w:r>
      <w:r>
        <w:rPr>
          <w:b/>
        </w:rPr>
        <w:t>J'identifie la nature exacte du courrier.</w:t>
      </w:r>
    </w:p>
    <w:p>
      <w:pPr>
        <w:spacing w:after="140"/>
        <w:ind w:left="510"/>
      </w:pPr>
      <w:r>
        <w:rPr>
          <w:color w:val="555555"/>
          <w:sz w:val="20"/>
        </w:rPr>
        <w:t>Lettre d'information d'un contrôle, convocation à un entretien, notification des conclusions du service médical, notification d'indu, avertissement, notification d'une pénalité : chaque courrier ouvre un délai différent.</w:t>
      </w:r>
    </w:p>
    <w:p>
      <w:pPr>
        <w:keepNext/>
        <w:spacing w:after="0"/>
        <w:ind w:left="510" w:hanging="510"/>
      </w:pPr>
      <w:r>
        <w:rPr>
          <w:rFonts w:ascii="Segoe UI Symbol" w:hAnsi="Segoe UI Symbol"/>
          <w:sz w:val="24"/>
        </w:rPr>
        <w:t xml:space="preserve">☐  </w:t>
      </w:r>
      <w:r>
        <w:rPr>
          <w:b/>
        </w:rPr>
        <w:t>Je note la période contrôlée et les actes visés.</w:t>
      </w:r>
    </w:p>
    <w:p>
      <w:pPr>
        <w:spacing w:after="140"/>
        <w:ind w:left="510"/>
      </w:pPr>
      <w:r>
        <w:rPr>
          <w:color w:val="555555"/>
          <w:sz w:val="20"/>
        </w:rPr>
        <w:t>Le courrier précise en principe les dates de début et de fin de la période analysée et, parfois, les cotations en cause.</w:t>
      </w:r>
    </w:p>
    <w:p>
      <w:pPr>
        <w:keepNext/>
        <w:spacing w:after="0"/>
        <w:ind w:left="510" w:hanging="510"/>
      </w:pPr>
      <w:r>
        <w:rPr>
          <w:rFonts w:ascii="Segoe UI Symbol" w:hAnsi="Segoe UI Symbol"/>
          <w:sz w:val="24"/>
        </w:rPr>
        <w:t xml:space="preserve">☐  </w:t>
      </w:r>
      <w:r>
        <w:rPr>
          <w:b/>
        </w:rPr>
        <w:t>Je relève la date limite de réponse et je l'inscris à deux endroits.</w:t>
      </w:r>
    </w:p>
    <w:p>
      <w:pPr>
        <w:spacing w:after="140"/>
        <w:ind w:left="510"/>
      </w:pPr>
      <w:r>
        <w:rPr>
          <w:color w:val="555555"/>
          <w:sz w:val="20"/>
        </w:rPr>
        <w:t>Agenda du cabinet et agenda personnel. Un délai manqué ne se rattrape pas.</w:t>
      </w:r>
    </w:p>
    <w:p>
      <w:pPr>
        <w:keepNext/>
        <w:spacing w:after="0"/>
        <w:ind w:left="510" w:hanging="510"/>
      </w:pPr>
      <w:r>
        <w:rPr>
          <w:rFonts w:ascii="Segoe UI Symbol" w:hAnsi="Segoe UI Symbol"/>
          <w:sz w:val="24"/>
        </w:rPr>
        <w:t xml:space="preserve">☐  </w:t>
      </w:r>
      <w:r>
        <w:rPr>
          <w:b/>
        </w:rPr>
        <w:t>Je n'appelle pas la caisse pour « m'expliquer ».</w:t>
      </w:r>
    </w:p>
    <w:p>
      <w:pPr>
        <w:spacing w:after="140"/>
        <w:ind w:left="510"/>
      </w:pPr>
      <w:r>
        <w:rPr>
          <w:color w:val="555555"/>
          <w:sz w:val="20"/>
        </w:rPr>
        <w:t>Un échange téléphonique n'est pas tracé de votre côté mais peut être consigné de l'autre. Tout échange doit être écrit.</w:t>
      </w:r>
    </w:p>
    <w:p>
      <w:pPr>
        <w:keepNext/>
        <w:spacing w:after="0"/>
        <w:ind w:left="510" w:hanging="510"/>
      </w:pPr>
      <w:r>
        <w:rPr>
          <w:rFonts w:ascii="Segoe UI Symbol" w:hAnsi="Segoe UI Symbol"/>
          <w:sz w:val="24"/>
        </w:rPr>
        <w:t xml:space="preserve">☐  </w:t>
      </w:r>
      <w:r>
        <w:rPr>
          <w:b/>
        </w:rPr>
        <w:t>Je préviens mon assureur de responsabilité civile professionnelle ou de protection juridique.</w:t>
      </w:r>
    </w:p>
    <w:p>
      <w:pPr>
        <w:spacing w:after="140"/>
        <w:ind w:left="510"/>
      </w:pPr>
      <w:r>
        <w:rPr>
          <w:color w:val="555555"/>
          <w:sz w:val="20"/>
        </w:rPr>
        <w:t>La plupart des contrats couvrent la défense devant la caisse à condition d'être déclarés sans retard. Demandez l'accord écrit de prise en charge.</w:t>
      </w:r>
    </w:p>
    <w:p>
      <w:pPr>
        <w:keepNext/>
        <w:spacing w:after="0"/>
        <w:ind w:left="510" w:hanging="510"/>
      </w:pPr>
      <w:r>
        <w:rPr>
          <w:rFonts w:ascii="Segoe UI Symbol" w:hAnsi="Segoe UI Symbol"/>
          <w:sz w:val="24"/>
        </w:rPr>
        <w:t xml:space="preserve">☐  </w:t>
      </w:r>
      <w:r>
        <w:rPr>
          <w:b/>
        </w:rPr>
        <w:t>Je prends contact avec un avocat dès ce stade si le courrier évoque une fraude, des faits répétés ou une plainte.</w:t>
      </w:r>
    </w:p>
    <w:p>
      <w:pPr>
        <w:spacing w:after="140"/>
        <w:ind w:left="510"/>
      </w:pPr>
      <w:r>
        <w:rPr>
          <w:color w:val="555555"/>
          <w:sz w:val="20"/>
        </w:rPr>
        <w:t>Les mots « fraude », « fausse déclaration », « facturation d'actes fictifs » annoncent une possible pénalité et une procédure pénale ou ordinale.</w:t>
      </w:r>
    </w:p>
    <w:p>
      <w:pPr>
        <w:pStyle w:val="Heading1"/>
      </w:pPr>
      <w:r>
        <w:t>Phase 2 – Avant l'entretien avec le médecin-conseil</w:t>
      </w:r>
    </w:p>
    <w:p>
      <w:pPr>
        <w:keepNext/>
        <w:spacing w:after="0"/>
        <w:ind w:left="510" w:hanging="510"/>
      </w:pPr>
      <w:r>
        <w:rPr>
          <w:rFonts w:ascii="Segoe UI Symbol" w:hAnsi="Segoe UI Symbol"/>
          <w:sz w:val="24"/>
        </w:rPr>
        <w:t xml:space="preserve">☐  </w:t>
      </w:r>
      <w:r>
        <w:rPr>
          <w:b/>
        </w:rPr>
        <w:t>Je demande par écrit la liste des actes et des patients concernés.</w:t>
      </w:r>
    </w:p>
    <w:p>
      <w:pPr>
        <w:spacing w:after="140"/>
        <w:ind w:left="510"/>
      </w:pPr>
      <w:r>
        <w:rPr>
          <w:color w:val="555555"/>
          <w:sz w:val="20"/>
        </w:rPr>
        <w:t>Sans cette liste, l'entretien se déroule sur des éléments que vous ne connaissez pas. La demande doit être faite en LRAR ou par courriel avec accusé.</w:t>
      </w:r>
    </w:p>
    <w:p>
      <w:pPr>
        <w:keepNext/>
        <w:spacing w:after="0"/>
        <w:ind w:left="510" w:hanging="510"/>
      </w:pPr>
      <w:r>
        <w:rPr>
          <w:rFonts w:ascii="Segoe UI Symbol" w:hAnsi="Segoe UI Symbol"/>
          <w:sz w:val="24"/>
        </w:rPr>
        <w:t xml:space="preserve">☐  </w:t>
      </w:r>
      <w:r>
        <w:rPr>
          <w:b/>
        </w:rPr>
        <w:t>Je reconstitue ma facturation sur la période contrôlée.</w:t>
      </w:r>
    </w:p>
    <w:p>
      <w:pPr>
        <w:spacing w:after="140"/>
        <w:ind w:left="510"/>
      </w:pPr>
      <w:r>
        <w:rPr>
          <w:color w:val="555555"/>
          <w:sz w:val="20"/>
        </w:rPr>
        <w:t>Exportez les bordereaux de votre logiciel (FSE, tiers payant) et rapprochez-les des dossiers patients, acte par acte.</w:t>
      </w:r>
    </w:p>
    <w:p>
      <w:pPr>
        <w:keepNext/>
        <w:spacing w:after="0"/>
        <w:ind w:left="510" w:hanging="510"/>
      </w:pPr>
      <w:r>
        <w:rPr>
          <w:rFonts w:ascii="Segoe UI Symbol" w:hAnsi="Segoe UI Symbol"/>
          <w:sz w:val="24"/>
        </w:rPr>
        <w:t xml:space="preserve">☐  </w:t>
      </w:r>
      <w:r>
        <w:rPr>
          <w:b/>
        </w:rPr>
        <w:t>Je vérifie la traçabilité de chaque acte contesté dans le dossier médical.</w:t>
      </w:r>
    </w:p>
    <w:p>
      <w:pPr>
        <w:spacing w:after="140"/>
        <w:ind w:left="510"/>
      </w:pPr>
      <w:r>
        <w:rPr>
          <w:color w:val="555555"/>
          <w:sz w:val="20"/>
        </w:rPr>
        <w:t>Compte rendu, prescription, résultats, horaire de l'acte : ce qui n'est pas tracé sera considéré comme non réalisé.</w:t>
      </w:r>
    </w:p>
    <w:p>
      <w:pPr>
        <w:keepNext/>
        <w:spacing w:after="0"/>
        <w:ind w:left="510" w:hanging="510"/>
      </w:pPr>
      <w:r>
        <w:rPr>
          <w:rFonts w:ascii="Segoe UI Symbol" w:hAnsi="Segoe UI Symbol"/>
          <w:sz w:val="24"/>
        </w:rPr>
        <w:t xml:space="preserve">☐  </w:t>
      </w:r>
      <w:r>
        <w:rPr>
          <w:b/>
        </w:rPr>
        <w:t>Je ne modifie ni ne complète aucun dossier médical.</w:t>
      </w:r>
    </w:p>
    <w:p>
      <w:pPr>
        <w:spacing w:after="140"/>
        <w:ind w:left="510"/>
      </w:pPr>
      <w:r>
        <w:rPr>
          <w:color w:val="555555"/>
          <w:sz w:val="20"/>
        </w:rPr>
        <w:t>Toute modification postérieure au début du contrôle est détectable (horodatage, versions) et peut être qualifiée de faux.</w:t>
      </w:r>
    </w:p>
    <w:p>
      <w:pPr>
        <w:keepNext/>
        <w:spacing w:after="0"/>
        <w:ind w:left="510" w:hanging="510"/>
      </w:pPr>
      <w:r>
        <w:rPr>
          <w:rFonts w:ascii="Segoe UI Symbol" w:hAnsi="Segoe UI Symbol"/>
          <w:sz w:val="24"/>
        </w:rPr>
        <w:t xml:space="preserve">☐  </w:t>
      </w:r>
      <w:r>
        <w:rPr>
          <w:b/>
        </w:rPr>
        <w:t>Je relis les règles de cotation applicables à la date des soins.</w:t>
      </w:r>
    </w:p>
    <w:p>
      <w:pPr>
        <w:spacing w:after="140"/>
        <w:ind w:left="510"/>
      </w:pPr>
      <w:r>
        <w:rPr>
          <w:color w:val="555555"/>
          <w:sz w:val="20"/>
        </w:rPr>
        <w:t>NGAP, CCAM et convention médicale changent régulièrement. La règle applicable est celle en vigueur au jour de l'acte, pas celle d'aujourd'hui.</w:t>
      </w:r>
    </w:p>
    <w:p>
      <w:pPr>
        <w:keepNext/>
        <w:spacing w:after="0"/>
        <w:ind w:left="510" w:hanging="510"/>
      </w:pPr>
      <w:r>
        <w:rPr>
          <w:rFonts w:ascii="Segoe UI Symbol" w:hAnsi="Segoe UI Symbol"/>
          <w:sz w:val="24"/>
        </w:rPr>
        <w:t xml:space="preserve">☐  </w:t>
      </w:r>
      <w:r>
        <w:rPr>
          <w:b/>
        </w:rPr>
        <w:t>Je prépare une note écrite courte pour chaque type de grief.</w:t>
      </w:r>
    </w:p>
    <w:p>
      <w:pPr>
        <w:spacing w:after="140"/>
        <w:ind w:left="510"/>
      </w:pPr>
      <w:r>
        <w:rPr>
          <w:color w:val="555555"/>
          <w:sz w:val="20"/>
        </w:rPr>
        <w:t>Une page par catégorie (cotation, cumul, majoration, acte contesté) avec les pièces à l'appui. Elle sera remise à la fin de l'entretien.</w:t>
      </w:r>
    </w:p>
    <w:p>
      <w:pPr>
        <w:keepNext/>
        <w:spacing w:after="0"/>
        <w:ind w:left="510" w:hanging="510"/>
      </w:pPr>
      <w:r>
        <w:rPr>
          <w:rFonts w:ascii="Segoe UI Symbol" w:hAnsi="Segoe UI Symbol"/>
          <w:sz w:val="24"/>
        </w:rPr>
        <w:t xml:space="preserve">☐  </w:t>
      </w:r>
      <w:r>
        <w:rPr>
          <w:b/>
        </w:rPr>
        <w:t>Je choisis la personne qui m'assistera à l'entretien.</w:t>
      </w:r>
    </w:p>
    <w:p>
      <w:pPr>
        <w:spacing w:after="140"/>
        <w:ind w:left="510"/>
      </w:pPr>
      <w:r>
        <w:rPr>
          <w:color w:val="555555"/>
          <w:sz w:val="20"/>
        </w:rPr>
        <w:t>Vous pouvez être assisté d'un confrère ou d'un avocat. Informez-en la caisse par écrit avant la date fixée.</w:t>
      </w:r>
    </w:p>
    <w:p>
      <w:pPr>
        <w:keepNext/>
        <w:spacing w:after="0"/>
        <w:ind w:left="510" w:hanging="510"/>
      </w:pPr>
      <w:r>
        <w:rPr>
          <w:rFonts w:ascii="Segoe UI Symbol" w:hAnsi="Segoe UI Symbol"/>
          <w:sz w:val="24"/>
        </w:rPr>
        <w:t xml:space="preserve">☐  </w:t>
      </w:r>
      <w:r>
        <w:rPr>
          <w:b/>
        </w:rPr>
        <w:t>Je demande le report si la date proposée ne me permet pas de préparer.</w:t>
      </w:r>
    </w:p>
    <w:p>
      <w:pPr>
        <w:spacing w:after="140"/>
        <w:ind w:left="510"/>
      </w:pPr>
      <w:r>
        <w:rPr>
          <w:color w:val="555555"/>
          <w:sz w:val="20"/>
        </w:rPr>
        <w:t>Un report motivé (accès aux pièces, absence, délai trop court) est rarement refusé s'il est demandé par écrit et sans tarder.</w:t>
      </w:r>
    </w:p>
    <w:p>
      <w:pPr>
        <w:pStyle w:val="Heading1"/>
      </w:pPr>
      <w:r>
        <w:t>Phase 3 – Pendant l'entretien</w:t>
      </w:r>
    </w:p>
    <w:p>
      <w:pPr>
        <w:keepNext/>
        <w:spacing w:after="0"/>
        <w:ind w:left="510" w:hanging="510"/>
      </w:pPr>
      <w:r>
        <w:rPr>
          <w:rFonts w:ascii="Segoe UI Symbol" w:hAnsi="Segoe UI Symbol"/>
          <w:sz w:val="24"/>
        </w:rPr>
        <w:t xml:space="preserve">☐  </w:t>
      </w:r>
      <w:r>
        <w:rPr>
          <w:b/>
        </w:rPr>
        <w:t>Je demande au médecin-conseil de préciser, pour chaque acte, le grief exact.</w:t>
      </w:r>
    </w:p>
    <w:p>
      <w:pPr>
        <w:spacing w:after="140"/>
        <w:ind w:left="510"/>
      </w:pPr>
      <w:r>
        <w:rPr>
          <w:color w:val="555555"/>
          <w:sz w:val="20"/>
        </w:rPr>
        <w:t>Non-réalisation, cotation, cumul, absence de justification médicale : le grief conditionne la réponse. Faites-le noter.</w:t>
      </w:r>
    </w:p>
    <w:p>
      <w:pPr>
        <w:keepNext/>
        <w:spacing w:after="0"/>
        <w:ind w:left="510" w:hanging="510"/>
      </w:pPr>
      <w:r>
        <w:rPr>
          <w:rFonts w:ascii="Segoe UI Symbol" w:hAnsi="Segoe UI Symbol"/>
          <w:sz w:val="24"/>
        </w:rPr>
        <w:t xml:space="preserve">☐  </w:t>
      </w:r>
      <w:r>
        <w:rPr>
          <w:b/>
        </w:rPr>
        <w:t>Je réponds uniquement sur les actes dont j'ai les pièces sous les yeux.</w:t>
      </w:r>
    </w:p>
    <w:p>
      <w:pPr>
        <w:spacing w:after="140"/>
        <w:ind w:left="510"/>
      </w:pPr>
      <w:r>
        <w:rPr>
          <w:color w:val="555555"/>
          <w:sz w:val="20"/>
        </w:rPr>
        <w:t>Pour les autres, indiquez que vous répondrez par écrit après vérification du dossier. Ne « reconnaissez » rien sous la pression du moment.</w:t>
      </w:r>
    </w:p>
    <w:p>
      <w:pPr>
        <w:keepNext/>
        <w:spacing w:after="0"/>
        <w:ind w:left="510" w:hanging="510"/>
      </w:pPr>
      <w:r>
        <w:rPr>
          <w:rFonts w:ascii="Segoe UI Symbol" w:hAnsi="Segoe UI Symbol"/>
          <w:sz w:val="24"/>
        </w:rPr>
        <w:t xml:space="preserve">☐  </w:t>
      </w:r>
      <w:r>
        <w:rPr>
          <w:b/>
        </w:rPr>
        <w:t>Je ne commente pas ma pratique en général.</w:t>
      </w:r>
    </w:p>
    <w:p>
      <w:pPr>
        <w:spacing w:after="140"/>
        <w:ind w:left="510"/>
      </w:pPr>
      <w:r>
        <w:rPr>
          <w:color w:val="555555"/>
          <w:sz w:val="20"/>
        </w:rPr>
        <w:t>Le contrôle porte sur des actes identifiés. Les considérations générales sur votre organisation ou votre patientèle sont utilisées contre vous.</w:t>
      </w:r>
    </w:p>
    <w:p>
      <w:pPr>
        <w:keepNext/>
        <w:spacing w:after="0"/>
        <w:ind w:left="510" w:hanging="510"/>
      </w:pPr>
      <w:r>
        <w:rPr>
          <w:rFonts w:ascii="Segoe UI Symbol" w:hAnsi="Segoe UI Symbol"/>
          <w:sz w:val="24"/>
        </w:rPr>
        <w:t xml:space="preserve">☐  </w:t>
      </w:r>
      <w:r>
        <w:rPr>
          <w:b/>
        </w:rPr>
        <w:t>Je prends des notes détaillées ou je fais prendre des notes par la personne qui m'assiste.</w:t>
      </w:r>
    </w:p>
    <w:p>
      <w:pPr>
        <w:spacing w:after="140"/>
        <w:ind w:left="510"/>
      </w:pPr>
      <w:r>
        <w:rPr>
          <w:color w:val="555555"/>
          <w:sz w:val="20"/>
        </w:rPr>
        <w:t>Questions posées, réponses données, pièces montrées : vous en aurez besoin pour contester le compte rendu s'il est inexact.</w:t>
      </w:r>
    </w:p>
    <w:p>
      <w:pPr>
        <w:keepNext/>
        <w:spacing w:after="0"/>
        <w:ind w:left="510" w:hanging="510"/>
      </w:pPr>
      <w:r>
        <w:rPr>
          <w:rFonts w:ascii="Segoe UI Symbol" w:hAnsi="Segoe UI Symbol"/>
          <w:sz w:val="24"/>
        </w:rPr>
        <w:t xml:space="preserve">☐  </w:t>
      </w:r>
      <w:r>
        <w:rPr>
          <w:b/>
        </w:rPr>
        <w:t>Je remets ma note écrite et je demande qu'il en soit fait mention.</w:t>
      </w:r>
    </w:p>
    <w:p>
      <w:pPr>
        <w:spacing w:after="140"/>
        <w:ind w:left="510"/>
      </w:pPr>
      <w:r>
        <w:rPr>
          <w:color w:val="555555"/>
          <w:sz w:val="20"/>
        </w:rPr>
        <w:t>Une note remise en séance fait partie de la procédure contradictoire et devra être analysée dans les conclusions.</w:t>
      </w:r>
    </w:p>
    <w:p>
      <w:pPr>
        <w:keepNext/>
        <w:spacing w:after="0"/>
        <w:ind w:left="510" w:hanging="510"/>
      </w:pPr>
      <w:r>
        <w:rPr>
          <w:rFonts w:ascii="Segoe UI Symbol" w:hAnsi="Segoe UI Symbol"/>
          <w:sz w:val="24"/>
        </w:rPr>
        <w:t xml:space="preserve">☐  </w:t>
      </w:r>
      <w:r>
        <w:rPr>
          <w:b/>
        </w:rPr>
        <w:t>Je ne signe aucun document en séance.</w:t>
      </w:r>
    </w:p>
    <w:p>
      <w:pPr>
        <w:spacing w:after="140"/>
        <w:ind w:left="510"/>
      </w:pPr>
      <w:r>
        <w:rPr>
          <w:color w:val="555555"/>
          <w:sz w:val="20"/>
        </w:rPr>
        <w:t>Vous pouvez demander à relire le compte rendu à tête reposée. Un document signé sans lecture est présumé accepté.</w:t>
      </w:r>
    </w:p>
    <w:p>
      <w:pPr>
        <w:pStyle w:val="Heading1"/>
      </w:pPr>
      <w:r>
        <w:t>Phase 4 – Après l'entretien</w:t>
      </w:r>
    </w:p>
    <w:p>
      <w:pPr>
        <w:keepNext/>
        <w:spacing w:after="0"/>
        <w:ind w:left="510" w:hanging="510"/>
      </w:pPr>
      <w:r>
        <w:rPr>
          <w:rFonts w:ascii="Segoe UI Symbol" w:hAnsi="Segoe UI Symbol"/>
          <w:sz w:val="24"/>
        </w:rPr>
        <w:t xml:space="preserve">☐  </w:t>
      </w:r>
      <w:r>
        <w:rPr>
          <w:b/>
        </w:rPr>
        <w:t>Je relis le compte rendu d'entretien dès sa réception et je le rectifie par écrit.</w:t>
      </w:r>
    </w:p>
    <w:p>
      <w:pPr>
        <w:spacing w:after="140"/>
        <w:ind w:left="510"/>
      </w:pPr>
      <w:r>
        <w:rPr>
          <w:color w:val="555555"/>
          <w:sz w:val="20"/>
        </w:rPr>
        <w:t>Chaque inexactitude non contestée sera tenue pour acquise. Rectifiez point par point, en LRAR, dans le délai indiqué.</w:t>
      </w:r>
    </w:p>
    <w:p>
      <w:pPr>
        <w:keepNext/>
        <w:spacing w:after="0"/>
        <w:ind w:left="510" w:hanging="510"/>
      </w:pPr>
      <w:r>
        <w:rPr>
          <w:rFonts w:ascii="Segoe UI Symbol" w:hAnsi="Segoe UI Symbol"/>
          <w:sz w:val="24"/>
        </w:rPr>
        <w:t xml:space="preserve">☐  </w:t>
      </w:r>
      <w:r>
        <w:rPr>
          <w:b/>
        </w:rPr>
        <w:t>Je réponds aux conclusions du service médical dans le délai imparti.</w:t>
      </w:r>
    </w:p>
    <w:p>
      <w:pPr>
        <w:spacing w:after="140"/>
        <w:ind w:left="510"/>
      </w:pPr>
      <w:r>
        <w:rPr>
          <w:color w:val="555555"/>
          <w:sz w:val="20"/>
        </w:rPr>
        <w:t>Les conclusions notifiées ouvrent un délai d'observations. Répondez acte par acte, avec un tableau et les pièces.</w:t>
      </w:r>
    </w:p>
    <w:p>
      <w:pPr>
        <w:keepNext/>
        <w:spacing w:after="0"/>
        <w:ind w:left="510" w:hanging="510"/>
      </w:pPr>
      <w:r>
        <w:rPr>
          <w:rFonts w:ascii="Segoe UI Symbol" w:hAnsi="Segoe UI Symbol"/>
          <w:sz w:val="24"/>
        </w:rPr>
        <w:t xml:space="preserve">☐  </w:t>
      </w:r>
      <w:r>
        <w:rPr>
          <w:b/>
        </w:rPr>
        <w:t>Je demande la copie de l'intégralité du dossier de contrôle.</w:t>
      </w:r>
    </w:p>
    <w:p>
      <w:pPr>
        <w:spacing w:after="140"/>
        <w:ind w:left="510"/>
      </w:pPr>
      <w:r>
        <w:rPr>
          <w:color w:val="555555"/>
          <w:sz w:val="20"/>
        </w:rPr>
        <w:t>Rapport du médecin-conseil, questionnaires adressés aux patients, éléments recueillis auprès de tiers : vous avez le droit d'en prendre connaissance.</w:t>
      </w:r>
    </w:p>
    <w:p>
      <w:pPr>
        <w:keepNext/>
        <w:spacing w:after="0"/>
        <w:ind w:left="510" w:hanging="510"/>
      </w:pPr>
      <w:r>
        <w:rPr>
          <w:rFonts w:ascii="Segoe UI Symbol" w:hAnsi="Segoe UI Symbol"/>
          <w:sz w:val="24"/>
        </w:rPr>
        <w:t xml:space="preserve">☐  </w:t>
      </w:r>
      <w:r>
        <w:rPr>
          <w:b/>
        </w:rPr>
        <w:t>Je constitue un dossier unique, classé par date.</w:t>
      </w:r>
    </w:p>
    <w:p>
      <w:pPr>
        <w:spacing w:after="140"/>
        <w:ind w:left="510"/>
      </w:pPr>
      <w:r>
        <w:rPr>
          <w:color w:val="555555"/>
          <w:sz w:val="20"/>
        </w:rPr>
        <w:t>Courriers reçus, courriers envoyés avec preuves de dépôt, notes, pièces. Il servira devant la CRA puis devant le tribunal.</w:t>
      </w:r>
    </w:p>
    <w:p>
      <w:pPr>
        <w:keepNext/>
        <w:spacing w:after="0"/>
        <w:ind w:left="510" w:hanging="510"/>
      </w:pPr>
      <w:r>
        <w:rPr>
          <w:rFonts w:ascii="Segoe UI Symbol" w:hAnsi="Segoe UI Symbol"/>
          <w:sz w:val="24"/>
        </w:rPr>
        <w:t xml:space="preserve">☐  </w:t>
      </w:r>
      <w:r>
        <w:rPr>
          <w:b/>
        </w:rPr>
        <w:t>Je vérifie que mon assureur a confirmé la prise en charge et que l'avocat de mon choix est désigné.</w:t>
      </w:r>
    </w:p>
    <w:p>
      <w:pPr>
        <w:spacing w:after="140"/>
        <w:ind w:left="510"/>
      </w:pPr>
      <w:r>
        <w:rPr>
          <w:color w:val="555555"/>
          <w:sz w:val="20"/>
        </w:rPr>
        <w:t>L'assureur peut proposer un avocat ; vous n'êtes pas tenu de l'accepter. Le libre choix est un droit.</w:t>
      </w:r>
    </w:p>
    <w:p>
      <w:pPr>
        <w:pStyle w:val="Heading1"/>
      </w:pPr>
      <w:r>
        <w:t>Phase 5 – À la notification (indu, pénalité, avertissement)</w:t>
      </w:r>
    </w:p>
    <w:p>
      <w:pPr>
        <w:keepNext/>
        <w:spacing w:after="0"/>
        <w:ind w:left="510" w:hanging="510"/>
      </w:pPr>
      <w:r>
        <w:rPr>
          <w:rFonts w:ascii="Segoe UI Symbol" w:hAnsi="Segoe UI Symbol"/>
          <w:sz w:val="24"/>
        </w:rPr>
        <w:t xml:space="preserve">☐  </w:t>
      </w:r>
      <w:r>
        <w:rPr>
          <w:b/>
        </w:rPr>
        <w:t>Je vérifie que la notification comporte toutes les mentions obligatoires.</w:t>
      </w:r>
    </w:p>
    <w:p>
      <w:pPr>
        <w:spacing w:after="140"/>
        <w:ind w:left="510"/>
      </w:pPr>
      <w:r>
        <w:rPr>
          <w:color w:val="555555"/>
          <w:sz w:val="20"/>
        </w:rPr>
        <w:t>Cause, nature et montant des sommes, dates des versements, délai et voies de recours, tableau des actes. Une notification incomplète est contestable.</w:t>
      </w:r>
    </w:p>
    <w:p>
      <w:pPr>
        <w:keepNext/>
        <w:spacing w:after="0"/>
        <w:ind w:left="510" w:hanging="510"/>
      </w:pPr>
      <w:r>
        <w:rPr>
          <w:rFonts w:ascii="Segoe UI Symbol" w:hAnsi="Segoe UI Symbol"/>
          <w:sz w:val="24"/>
        </w:rPr>
        <w:t xml:space="preserve">☐  </w:t>
      </w:r>
      <w:r>
        <w:rPr>
          <w:b/>
        </w:rPr>
        <w:t>Je rapproche le montant réclamé du tableau annexé.</w:t>
      </w:r>
    </w:p>
    <w:p>
      <w:pPr>
        <w:spacing w:after="140"/>
        <w:ind w:left="510"/>
      </w:pPr>
      <w:r>
        <w:rPr>
          <w:color w:val="555555"/>
          <w:sz w:val="20"/>
        </w:rPr>
        <w:t>Les totaux ne correspondent pas toujours à la somme des lignes. Chaque écart doit être relevé.</w:t>
      </w:r>
    </w:p>
    <w:p>
      <w:pPr>
        <w:keepNext/>
        <w:spacing w:after="0"/>
        <w:ind w:left="510" w:hanging="510"/>
      </w:pPr>
      <w:r>
        <w:rPr>
          <w:rFonts w:ascii="Segoe UI Symbol" w:hAnsi="Segoe UI Symbol"/>
          <w:sz w:val="24"/>
        </w:rPr>
        <w:t xml:space="preserve">☐  </w:t>
      </w:r>
      <w:r>
        <w:rPr>
          <w:b/>
        </w:rPr>
        <w:t>Je repère les actes payés depuis plus de trois ans.</w:t>
      </w:r>
    </w:p>
    <w:p>
      <w:pPr>
        <w:spacing w:after="140"/>
        <w:ind w:left="510"/>
      </w:pPr>
      <w:r>
        <w:rPr>
          <w:color w:val="555555"/>
          <w:sz w:val="20"/>
        </w:rPr>
        <w:t>L'action en recouvrement d'un indu se prescrit par trois ans à compter du paiement, sauf fraude. Ces lignes doivent être retirées.</w:t>
      </w:r>
    </w:p>
    <w:p>
      <w:pPr>
        <w:keepNext/>
        <w:spacing w:after="0"/>
        <w:ind w:left="510" w:hanging="510"/>
      </w:pPr>
      <w:r>
        <w:rPr>
          <w:rFonts w:ascii="Segoe UI Symbol" w:hAnsi="Segoe UI Symbol"/>
          <w:sz w:val="24"/>
        </w:rPr>
        <w:t xml:space="preserve">☐  </w:t>
      </w:r>
      <w:r>
        <w:rPr>
          <w:b/>
        </w:rPr>
        <w:t>Je saisis la Commission de recours amiable en LRAR dans les deux mois.</w:t>
      </w:r>
    </w:p>
    <w:p>
      <w:pPr>
        <w:spacing w:after="140"/>
        <w:ind w:left="510"/>
      </w:pPr>
      <w:r>
        <w:rPr>
          <w:color w:val="555555"/>
          <w:sz w:val="20"/>
        </w:rPr>
        <w:t>Utilisez le modèle ODAYA de saisine de la CRA. Le délai court à compter de la première présentation de la notification.</w:t>
      </w:r>
    </w:p>
    <w:p>
      <w:pPr>
        <w:keepNext/>
        <w:spacing w:after="0"/>
        <w:ind w:left="510" w:hanging="510"/>
      </w:pPr>
      <w:r>
        <w:rPr>
          <w:rFonts w:ascii="Segoe UI Symbol" w:hAnsi="Segoe UI Symbol"/>
          <w:sz w:val="24"/>
        </w:rPr>
        <w:t xml:space="preserve">☐  </w:t>
      </w:r>
      <w:r>
        <w:rPr>
          <w:b/>
        </w:rPr>
        <w:t>Si une pénalité financière est envisagée, je présente mes observations dans le mois.</w:t>
      </w:r>
    </w:p>
    <w:p>
      <w:pPr>
        <w:spacing w:after="140"/>
        <w:ind w:left="510"/>
      </w:pPr>
      <w:r>
        <w:rPr>
          <w:color w:val="555555"/>
          <w:sz w:val="20"/>
        </w:rPr>
        <w:t>La procédure de pénalité (article L. 114-17-1 du Code de la sécurité sociale) est distincte de l'indu : délai d'un mois pour les observations, puis avis de la commission des pénalités et décision du directeur.</w:t>
      </w:r>
    </w:p>
    <w:p>
      <w:pPr>
        <w:keepNext/>
        <w:spacing w:after="0"/>
        <w:ind w:left="510" w:hanging="510"/>
      </w:pPr>
      <w:r>
        <w:rPr>
          <w:rFonts w:ascii="Segoe UI Symbol" w:hAnsi="Segoe UI Symbol"/>
          <w:sz w:val="24"/>
        </w:rPr>
        <w:t xml:space="preserve">☐  </w:t>
      </w:r>
      <w:r>
        <w:rPr>
          <w:b/>
        </w:rPr>
        <w:t>Je ne paie pas « pour avoir la paix » sans avis.</w:t>
      </w:r>
    </w:p>
    <w:p>
      <w:pPr>
        <w:spacing w:after="140"/>
        <w:ind w:left="510"/>
      </w:pPr>
      <w:r>
        <w:rPr>
          <w:color w:val="555555"/>
          <w:sz w:val="20"/>
        </w:rPr>
        <w:t>Un paiement spontané peut être analysé comme une reconnaissance et compliquer la défense devant l'Ordre ou au pénal.</w:t>
      </w:r>
    </w:p>
    <w:p>
      <w:pPr>
        <w:keepNext/>
        <w:spacing w:after="0"/>
        <w:ind w:left="510" w:hanging="510"/>
      </w:pPr>
      <w:r>
        <w:rPr>
          <w:rFonts w:ascii="Segoe UI Symbol" w:hAnsi="Segoe UI Symbol"/>
          <w:sz w:val="24"/>
        </w:rPr>
        <w:t xml:space="preserve">☐  </w:t>
      </w:r>
      <w:r>
        <w:rPr>
          <w:b/>
        </w:rPr>
        <w:t>Je demande par écrit la suspension de toute retenue sur mes règlements pendant l'instance.</w:t>
      </w:r>
    </w:p>
    <w:p>
      <w:pPr>
        <w:spacing w:after="140"/>
        <w:ind w:left="510"/>
      </w:pPr>
      <w:r>
        <w:rPr>
          <w:color w:val="555555"/>
          <w:sz w:val="20"/>
        </w:rPr>
        <w:t>Certaines caisses opèrent des compensations sur le tiers payant avant l'issue du recours. Contestez-les immédiatement.</w:t>
      </w:r>
    </w:p>
    <w:p>
      <w:pPr>
        <w:pStyle w:val="Heading1"/>
      </w:pPr>
      <w:r>
        <w:t>Tableau des délais à noter</w:t>
      </w:r>
    </w:p>
    <w:tbl>
      <w:tblPr>
        <w:tblStyle w:val="TableGrid"/>
        <w:tblW w:type="auto" w:w="0"/>
        <w:jc w:val="center"/>
        <w:tblLook w:firstColumn="1" w:firstRow="1" w:lastColumn="0" w:lastRow="0" w:noHBand="0" w:noVBand="1" w:val="04A0"/>
      </w:tblPr>
      <w:tblGrid>
        <w:gridCol w:w="2324"/>
        <w:gridCol w:w="2324"/>
        <w:gridCol w:w="2324"/>
        <w:gridCol w:w="2324"/>
      </w:tblGrid>
      <w:tr>
        <w:tc>
          <w:tcPr>
            <w:tcW w:type="dxa" w:w="2608"/>
            <w:shd w:val="clear" w:color="auto" w:fill="1F3A3D"/>
          </w:tcPr>
          <w:p>
            <w:pPr>
              <w:spacing w:after="0"/>
            </w:pPr>
            <w:r>
              <w:rPr>
                <w:b/>
                <w:color w:val="FFFFFF"/>
                <w:sz w:val="19"/>
              </w:rPr>
              <w:t>Événement</w:t>
            </w:r>
          </w:p>
        </w:tc>
        <w:tc>
          <w:tcPr>
            <w:tcW w:type="dxa" w:w="1247"/>
            <w:shd w:val="clear" w:color="auto" w:fill="1F3A3D"/>
          </w:tcPr>
          <w:p>
            <w:pPr>
              <w:spacing w:after="0"/>
            </w:pPr>
            <w:r>
              <w:rPr>
                <w:b/>
                <w:color w:val="FFFFFF"/>
                <w:sz w:val="19"/>
              </w:rPr>
              <w:t>Délai</w:t>
            </w:r>
          </w:p>
        </w:tc>
        <w:tc>
          <w:tcPr>
            <w:tcW w:type="dxa" w:w="3175"/>
            <w:shd w:val="clear" w:color="auto" w:fill="1F3A3D"/>
          </w:tcPr>
          <w:p>
            <w:pPr>
              <w:spacing w:after="0"/>
            </w:pPr>
            <w:r>
              <w:rPr>
                <w:b/>
                <w:color w:val="FFFFFF"/>
                <w:sz w:val="19"/>
              </w:rPr>
              <w:t>Point de départ</w:t>
            </w:r>
          </w:p>
        </w:tc>
        <w:tc>
          <w:tcPr>
            <w:tcW w:type="dxa" w:w="2268"/>
            <w:shd w:val="clear" w:color="auto" w:fill="1F3A3D"/>
          </w:tcPr>
          <w:p>
            <w:pPr>
              <w:spacing w:after="0"/>
            </w:pPr>
            <w:r>
              <w:rPr>
                <w:b/>
                <w:color w:val="FFFFFF"/>
                <w:sz w:val="19"/>
              </w:rPr>
              <w:t>Forme</w:t>
            </w:r>
          </w:p>
        </w:tc>
      </w:tr>
      <w:tr>
        <w:tc>
          <w:tcPr>
            <w:tcW w:type="dxa" w:w="2608"/>
          </w:tcPr>
          <w:p>
            <w:pPr>
              <w:spacing w:after="0"/>
            </w:pPr>
            <w:r>
              <w:rPr>
                <w:sz w:val="19"/>
              </w:rPr>
              <w:t>Observations sur une pénalité financière envisagée</w:t>
            </w:r>
          </w:p>
        </w:tc>
        <w:tc>
          <w:tcPr>
            <w:tcW w:type="dxa" w:w="1247"/>
          </w:tcPr>
          <w:p>
            <w:pPr>
              <w:spacing w:after="0"/>
            </w:pPr>
            <w:r>
              <w:rPr>
                <w:sz w:val="19"/>
              </w:rPr>
              <w:t>1 mois</w:t>
            </w:r>
          </w:p>
        </w:tc>
        <w:tc>
          <w:tcPr>
            <w:tcW w:type="dxa" w:w="3175"/>
          </w:tcPr>
          <w:p>
            <w:pPr>
              <w:spacing w:after="0"/>
            </w:pPr>
            <w:r>
              <w:rPr>
                <w:sz w:val="19"/>
              </w:rPr>
              <w:t>Réception de la notification des faits reprochés (art. L. 114-17-1 CSS)</w:t>
            </w:r>
          </w:p>
        </w:tc>
        <w:tc>
          <w:tcPr>
            <w:tcW w:type="dxa" w:w="2268"/>
          </w:tcPr>
          <w:p>
            <w:pPr>
              <w:spacing w:after="0"/>
            </w:pPr>
            <w:r>
              <w:rPr>
                <w:sz w:val="19"/>
              </w:rPr>
              <w:t>Écrit, LRAR conseillée</w:t>
            </w:r>
          </w:p>
        </w:tc>
      </w:tr>
      <w:tr>
        <w:tc>
          <w:tcPr>
            <w:tcW w:type="dxa" w:w="2608"/>
          </w:tcPr>
          <w:p>
            <w:pPr>
              <w:spacing w:after="0"/>
            </w:pPr>
            <w:r>
              <w:rPr>
                <w:sz w:val="19"/>
              </w:rPr>
              <w:t>Saisine de la Commission de recours amiable (indu)</w:t>
            </w:r>
          </w:p>
        </w:tc>
        <w:tc>
          <w:tcPr>
            <w:tcW w:type="dxa" w:w="1247"/>
          </w:tcPr>
          <w:p>
            <w:pPr>
              <w:spacing w:after="0"/>
            </w:pPr>
            <w:r>
              <w:rPr>
                <w:sz w:val="19"/>
              </w:rPr>
              <w:t>2 mois</w:t>
            </w:r>
          </w:p>
        </w:tc>
        <w:tc>
          <w:tcPr>
            <w:tcW w:type="dxa" w:w="3175"/>
          </w:tcPr>
          <w:p>
            <w:pPr>
              <w:spacing w:after="0"/>
            </w:pPr>
            <w:r>
              <w:rPr>
                <w:sz w:val="19"/>
              </w:rPr>
              <w:t>Première présentation de la notification d'indu (art. R. 142-1 CSS)</w:t>
            </w:r>
          </w:p>
        </w:tc>
        <w:tc>
          <w:tcPr>
            <w:tcW w:type="dxa" w:w="2268"/>
          </w:tcPr>
          <w:p>
            <w:pPr>
              <w:spacing w:after="0"/>
            </w:pPr>
            <w:r>
              <w:rPr>
                <w:sz w:val="19"/>
              </w:rPr>
              <w:t>LRAR obligatoire en pratique</w:t>
            </w:r>
          </w:p>
        </w:tc>
      </w:tr>
      <w:tr>
        <w:tc>
          <w:tcPr>
            <w:tcW w:type="dxa" w:w="2608"/>
          </w:tcPr>
          <w:p>
            <w:pPr>
              <w:spacing w:after="0"/>
            </w:pPr>
            <w:r>
              <w:rPr>
                <w:sz w:val="19"/>
              </w:rPr>
              <w:t>Silence de la CRA valant rejet</w:t>
            </w:r>
          </w:p>
        </w:tc>
        <w:tc>
          <w:tcPr>
            <w:tcW w:type="dxa" w:w="1247"/>
          </w:tcPr>
          <w:p>
            <w:pPr>
              <w:spacing w:after="0"/>
            </w:pPr>
            <w:r>
              <w:rPr>
                <w:sz w:val="19"/>
              </w:rPr>
              <w:t>2 mois</w:t>
            </w:r>
          </w:p>
        </w:tc>
        <w:tc>
          <w:tcPr>
            <w:tcW w:type="dxa" w:w="3175"/>
          </w:tcPr>
          <w:p>
            <w:pPr>
              <w:spacing w:after="0"/>
            </w:pPr>
            <w:r>
              <w:rPr>
                <w:sz w:val="19"/>
              </w:rPr>
              <w:t>Réception de la réclamation par la caisse</w:t>
            </w:r>
          </w:p>
        </w:tc>
        <w:tc>
          <w:tcPr>
            <w:tcW w:type="dxa" w:w="2268"/>
          </w:tcPr>
          <w:p>
            <w:pPr>
              <w:spacing w:after="0"/>
            </w:pPr>
            <w:r>
              <w:rPr>
                <w:sz w:val="19"/>
              </w:rPr>
              <w:t>Ouvre le recours devant le pôle social du tribunal judiciaire</w:t>
            </w:r>
          </w:p>
        </w:tc>
      </w:tr>
      <w:tr>
        <w:tc>
          <w:tcPr>
            <w:tcW w:type="dxa" w:w="2608"/>
          </w:tcPr>
          <w:p>
            <w:pPr>
              <w:spacing w:after="0"/>
            </w:pPr>
            <w:r>
              <w:rPr>
                <w:sz w:val="19"/>
              </w:rPr>
              <w:t>Recours contre la décision de la CRA</w:t>
            </w:r>
          </w:p>
        </w:tc>
        <w:tc>
          <w:tcPr>
            <w:tcW w:type="dxa" w:w="1247"/>
          </w:tcPr>
          <w:p>
            <w:pPr>
              <w:spacing w:after="0"/>
            </w:pPr>
            <w:r>
              <w:rPr>
                <w:sz w:val="19"/>
              </w:rPr>
              <w:t>Indiqué sur la décision</w:t>
            </w:r>
          </w:p>
        </w:tc>
        <w:tc>
          <w:tcPr>
            <w:tcW w:type="dxa" w:w="3175"/>
          </w:tcPr>
          <w:p>
            <w:pPr>
              <w:spacing w:after="0"/>
            </w:pPr>
            <w:r>
              <w:rPr>
                <w:sz w:val="19"/>
              </w:rPr>
              <w:t>Notification de la décision de la CRA</w:t>
            </w:r>
          </w:p>
        </w:tc>
        <w:tc>
          <w:tcPr>
            <w:tcW w:type="dxa" w:w="2268"/>
          </w:tcPr>
          <w:p>
            <w:pPr>
              <w:spacing w:after="0"/>
            </w:pPr>
            <w:r>
              <w:rPr>
                <w:sz w:val="19"/>
              </w:rPr>
              <w:t>Requête au pôle social du tribunal judiciaire</w:t>
            </w:r>
          </w:p>
        </w:tc>
      </w:tr>
      <w:tr>
        <w:tc>
          <w:tcPr>
            <w:tcW w:type="dxa" w:w="2608"/>
          </w:tcPr>
          <w:p>
            <w:pPr>
              <w:spacing w:after="0"/>
            </w:pPr>
            <w:r>
              <w:rPr>
                <w:sz w:val="19"/>
              </w:rPr>
              <w:t>Prescription de l'action en recouvrement</w:t>
            </w:r>
          </w:p>
        </w:tc>
        <w:tc>
          <w:tcPr>
            <w:tcW w:type="dxa" w:w="1247"/>
          </w:tcPr>
          <w:p>
            <w:pPr>
              <w:spacing w:after="0"/>
            </w:pPr>
            <w:r>
              <w:rPr>
                <w:sz w:val="19"/>
              </w:rPr>
              <w:t>3 ans</w:t>
            </w:r>
          </w:p>
        </w:tc>
        <w:tc>
          <w:tcPr>
            <w:tcW w:type="dxa" w:w="3175"/>
          </w:tcPr>
          <w:p>
            <w:pPr>
              <w:spacing w:after="0"/>
            </w:pPr>
            <w:r>
              <w:rPr>
                <w:sz w:val="19"/>
              </w:rPr>
              <w:t>Date de paiement de chaque somme indue (5 ans en cas de fraude ou fausse déclaration)</w:t>
            </w:r>
          </w:p>
        </w:tc>
        <w:tc>
          <w:tcPr>
            <w:tcW w:type="dxa" w:w="2268"/>
          </w:tcPr>
          <w:p>
            <w:pPr>
              <w:spacing w:after="0"/>
            </w:pPr>
            <w:r>
              <w:rPr>
                <w:sz w:val="19"/>
              </w:rPr>
              <w:t>Moyen à soulever dès la CRA</w:t>
            </w:r>
          </w:p>
        </w:tc>
      </w:tr>
      <w:tr>
        <w:tc>
          <w:tcPr>
            <w:tcW w:type="dxa" w:w="2608"/>
          </w:tcPr>
          <w:p>
            <w:pPr>
              <w:spacing w:after="0"/>
            </w:pPr>
            <w:r>
              <w:rPr>
                <w:sz w:val="19"/>
              </w:rPr>
              <w:t>Réponse aux conclusions du service médical</w:t>
            </w:r>
          </w:p>
        </w:tc>
        <w:tc>
          <w:tcPr>
            <w:tcW w:type="dxa" w:w="1247"/>
          </w:tcPr>
          <w:p>
            <w:pPr>
              <w:spacing w:after="0"/>
            </w:pPr>
            <w:r>
              <w:rPr>
                <w:sz w:val="19"/>
              </w:rPr>
              <w:t>Indiqué sur le courrier</w:t>
            </w:r>
          </w:p>
        </w:tc>
        <w:tc>
          <w:tcPr>
            <w:tcW w:type="dxa" w:w="3175"/>
          </w:tcPr>
          <w:p>
            <w:pPr>
              <w:spacing w:after="0"/>
            </w:pPr>
            <w:r>
              <w:rPr>
                <w:sz w:val="19"/>
              </w:rPr>
              <w:t>Réception des conclusions</w:t>
            </w:r>
          </w:p>
        </w:tc>
        <w:tc>
          <w:tcPr>
            <w:tcW w:type="dxa" w:w="2268"/>
          </w:tcPr>
          <w:p>
            <w:pPr>
              <w:spacing w:after="0"/>
            </w:pPr>
            <w:r>
              <w:rPr>
                <w:sz w:val="19"/>
              </w:rPr>
              <w:t>Écrit, acte par acte</w:t>
            </w:r>
          </w:p>
        </w:tc>
      </w:tr>
    </w:tbl>
    <w:p>
      <w:pPr>
        <w:spacing w:after="40"/>
      </w:pPr>
    </w:p>
    <w:tbl>
      <w:tblPr>
        <w:tblW w:type="auto" w:w="0"/>
        <w:jc w:val="center"/>
        <w:tblLook w:firstColumn="1" w:firstRow="1" w:lastColumn="0" w:lastRow="0" w:noHBand="0" w:noVBand="1" w:val="04A0"/>
      </w:tblPr>
      <w:tblGrid>
        <w:gridCol w:w="9298"/>
      </w:tblGrid>
      <w:tr>
        <w:tc>
          <w:tcPr>
            <w:tcW w:type="dxa" w:w="9298"/>
            <w:shd w:val="clear" w:color="auto" w:fill="EEF3F3"/>
          </w:tcPr>
          <w:p>
            <w:pPr>
              <w:spacing w:after="40"/>
            </w:pPr>
            <w:r>
              <w:rPr>
                <w:b/>
                <w:color w:val="1F3A3D"/>
              </w:rPr>
              <w:t>Ce qu'il faut retenir</w:t>
            </w:r>
          </w:p>
          <w:p>
            <w:pPr>
              <w:spacing w:after="40"/>
            </w:pPr>
            <w:r>
              <w:t>Écrire plutôt que téléphoner, répondre acte par acte plutôt qu'en général, ne jamais modifier un dossier, ne jamais laisser passer un délai. Le cabinet ODAYA Avocats défend les médecins face à la CPAM, à l'Ordre, aux plaintes de patients et au pénal, avec une fibre pénale particulièrement utile dans cette matière.</w:t>
            </w:r>
          </w:p>
        </w:tc>
      </w:tr>
    </w:tbl>
    <w:p>
      <w:pPr>
        <w:spacing w:after="40"/>
      </w:pPr>
    </w:p>
    <w:p>
      <w:r>
        <w:rPr>
          <w:b w:val="0"/>
          <w:i w:val="0"/>
          <w:color w:val="555555"/>
          <w:sz w:val="20"/>
        </w:rPr>
        <w:t>Un doute sur votre dossier ? Premier entretien téléphonique de 20 minutes offert et confidentiel : 01 85 73 41 85 · contact@odaya-avocats.fr · ODAYA Avocats, 174 rue de Courcelles, 75017 Paris. Le cabinet intervient à Paris, en Île-de-France et partout en France.</w:t>
      </w:r>
    </w:p>
    <w:sectPr w:rsidR="00FC693F" w:rsidRPr="0006063C" w:rsidSect="00034616">
      <w:headerReference w:type="default" r:id="rId9"/>
      <w:footerReference w:type="default" r:id="rId10"/>
      <w:pgSz w:w="11906" w:h="16838"/>
      <w:pgMar w:top="1247"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55555"/>
        <w:sz w:val="15"/>
      </w:rPr>
      <w:t>ODAYA Avocats · 174 rue de Courcelles, 75017 Paris · 01 85 73 41 85 · odaya-avocats.fr — document d'information générale, ne remplace pas une consultation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55555"/>
        <w:sz w:val="16"/>
      </w:rPr>
      <w:t>ODAYA Avocats · Avocats des médecins · Ressource pratique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1F3A3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Georgia" w:hAnsi="Georgia"/>
      <w:b/>
      <w:bCs/>
      <w:color w:val="1F3A3D"/>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1F3A3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